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4E17" w14:textId="77777777" w:rsidR="00C173CF" w:rsidRPr="00226743" w:rsidRDefault="00C173CF" w:rsidP="00A576C6">
      <w:pPr>
        <w:tabs>
          <w:tab w:val="left" w:pos="2031"/>
        </w:tabs>
        <w:rPr>
          <w:rFonts w:ascii="Arial" w:hAnsi="Arial" w:cs="Arial"/>
          <w:sz w:val="28"/>
          <w:szCs w:val="28"/>
          <w:lang w:val="ru-RU"/>
        </w:rPr>
      </w:pPr>
      <w:r w:rsidRPr="00226743">
        <w:rPr>
          <w:rFonts w:ascii="Arial" w:hAnsi="Arial" w:cs="Arial"/>
          <w:sz w:val="28"/>
          <w:szCs w:val="28"/>
          <w:lang w:val="ru-RU"/>
        </w:rPr>
        <w:t>Таблица 1. Обзор раскрытия климатической информации компаниями в 2021 г.</w:t>
      </w:r>
    </w:p>
    <w:tbl>
      <w:tblPr>
        <w:tblStyle w:val="ae"/>
        <w:tblW w:w="0" w:type="auto"/>
        <w:tblInd w:w="-743" w:type="dxa"/>
        <w:tblLook w:val="04A0" w:firstRow="1" w:lastRow="0" w:firstColumn="1" w:lastColumn="0" w:noHBand="0" w:noVBand="1"/>
      </w:tblPr>
      <w:tblGrid>
        <w:gridCol w:w="2257"/>
        <w:gridCol w:w="2368"/>
        <w:gridCol w:w="2353"/>
        <w:gridCol w:w="3110"/>
      </w:tblGrid>
      <w:tr w:rsidR="00C173CF" w:rsidRPr="00226743" w14:paraId="62AA7A0A" w14:textId="77777777" w:rsidTr="00970727">
        <w:trPr>
          <w:tblHeader/>
        </w:trPr>
        <w:tc>
          <w:tcPr>
            <w:tcW w:w="1369" w:type="dxa"/>
          </w:tcPr>
          <w:p w14:paraId="0663A1E6" w14:textId="77777777" w:rsidR="00C173CF" w:rsidRPr="00226743" w:rsidRDefault="00C173CF" w:rsidP="00A576C6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Корпоративное</w:t>
            </w:r>
            <w:proofErr w:type="spellEnd"/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управление</w:t>
            </w:r>
            <w:proofErr w:type="spellEnd"/>
          </w:p>
        </w:tc>
        <w:tc>
          <w:tcPr>
            <w:tcW w:w="1686" w:type="dxa"/>
          </w:tcPr>
          <w:p w14:paraId="3746AA5B" w14:textId="77777777" w:rsidR="00C173CF" w:rsidRPr="00226743" w:rsidRDefault="00C173CF" w:rsidP="00A576C6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Стратегия</w:t>
            </w:r>
            <w:proofErr w:type="spellEnd"/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компании</w:t>
            </w:r>
            <w:proofErr w:type="spellEnd"/>
          </w:p>
        </w:tc>
        <w:tc>
          <w:tcPr>
            <w:tcW w:w="2479" w:type="dxa"/>
          </w:tcPr>
          <w:p w14:paraId="2D022892" w14:textId="77777777" w:rsidR="00C173CF" w:rsidRPr="00226743" w:rsidRDefault="00C173CF" w:rsidP="00A576C6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Управление</w:t>
            </w:r>
            <w:proofErr w:type="spellEnd"/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климатическими</w:t>
            </w:r>
            <w:proofErr w:type="spellEnd"/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рисками</w:t>
            </w:r>
            <w:proofErr w:type="spellEnd"/>
          </w:p>
        </w:tc>
        <w:tc>
          <w:tcPr>
            <w:tcW w:w="3731" w:type="dxa"/>
          </w:tcPr>
          <w:p w14:paraId="46DB35C4" w14:textId="77777777" w:rsidR="00C173CF" w:rsidRPr="00226743" w:rsidRDefault="00C173CF" w:rsidP="00A576C6">
            <w:pPr>
              <w:jc w:val="left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Показатели</w:t>
            </w:r>
            <w:proofErr w:type="spellEnd"/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и </w:t>
            </w: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цел</w:t>
            </w:r>
            <w:proofErr w:type="spellEnd"/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>и</w:t>
            </w:r>
          </w:p>
        </w:tc>
      </w:tr>
      <w:tr w:rsidR="00C173CF" w:rsidRPr="00226743" w14:paraId="6EFD7E82" w14:textId="77777777" w:rsidTr="00970727">
        <w:tc>
          <w:tcPr>
            <w:tcW w:w="9265" w:type="dxa"/>
            <w:gridSpan w:val="4"/>
          </w:tcPr>
          <w:p w14:paraId="4118C9AB" w14:textId="77777777" w:rsidR="00C173CF" w:rsidRPr="00226743" w:rsidRDefault="00C173CF" w:rsidP="00A576C6">
            <w:pPr>
              <w:jc w:val="left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>Группа НЛМК (металлургическая компания) [</w: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fldChar w:fldCharType="begin"/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instrText xml:space="preserve"> REF _Ref173349786 \r \h  \* MERGEFORMAT </w:instrTex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fldChar w:fldCharType="separate"/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>3</w: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fldChar w:fldCharType="end"/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>]</w:t>
            </w:r>
          </w:p>
        </w:tc>
      </w:tr>
      <w:tr w:rsidR="00C173CF" w:rsidRPr="00226743" w14:paraId="729DEFE8" w14:textId="77777777" w:rsidTr="00970727">
        <w:tc>
          <w:tcPr>
            <w:tcW w:w="1369" w:type="dxa"/>
          </w:tcPr>
          <w:p w14:paraId="0DEB35D2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Компания частично раскрывает информацию о полномочиях совета директоров: «Совет директоров, комитеты Совета директоров, Президент (Председатель Правления) и Правление определяют стратегические направления развития и осуществляют общее руководство деятельностью в области устойчивого развития». Информация раскрывается в разделе «Приоритеты климатической стратегии», однако отсутствует сама информация </w:t>
            </w:r>
          </w:p>
        </w:tc>
        <w:tc>
          <w:tcPr>
            <w:tcW w:w="1686" w:type="dxa"/>
          </w:tcPr>
          <w:p w14:paraId="137C5EAE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• В 2021 г. Группа НЛМК утвердила Климатическую программу, предусматривающую снижение удельной эмиссии к 2030 г. до 1,69 т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/т Fe или 1,72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/ т стали, к 2050 г. – как минимум, до 1,2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/т стали (– 40 % от текущего уровня) при полном переходе на технологию ГБЖ+ДСП (железорудное сырье с высоким содержанием железа, получаемое без применения кокса) с использованием уже имеющегося у Группы железорудного сырья, а также природного газа и электроэнергии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из сети с текущим уровнем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углеродоемкости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9" w:type="dxa"/>
          </w:tcPr>
          <w:p w14:paraId="25490531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lastRenderedPageBreak/>
              <w:t>Физические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риски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7D58E351" w14:textId="77777777" w:rsidR="00C173CF" w:rsidRPr="00226743" w:rsidRDefault="00C173CF" w:rsidP="00A576C6">
            <w:pPr>
              <w:pStyle w:val="a7"/>
              <w:numPr>
                <w:ilvl w:val="0"/>
                <w:numId w:val="17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э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кстремальны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е</w:t>
            </w:r>
            <w:r w:rsidRPr="0022674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5615954F" w14:textId="77777777" w:rsidR="00C173CF" w:rsidRPr="00226743" w:rsidRDefault="00C173CF" w:rsidP="00A576C6">
            <w:pPr>
              <w:pStyle w:val="a7"/>
              <w:numPr>
                <w:ilvl w:val="0"/>
                <w:numId w:val="17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х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ронические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50DCD58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Риски перехода к низкоуглеродной экономике:</w:t>
            </w:r>
          </w:p>
          <w:p w14:paraId="4D8B740C" w14:textId="77777777" w:rsidR="00C173CF" w:rsidRPr="00226743" w:rsidRDefault="00C173CF" w:rsidP="00A576C6">
            <w:pPr>
              <w:pStyle w:val="a7"/>
              <w:numPr>
                <w:ilvl w:val="0"/>
                <w:numId w:val="1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олитико-правовые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79EFCA58" w14:textId="77777777" w:rsidR="00C173CF" w:rsidRPr="00226743" w:rsidRDefault="00C173CF" w:rsidP="00A576C6">
            <w:pPr>
              <w:pStyle w:val="a7"/>
              <w:numPr>
                <w:ilvl w:val="0"/>
                <w:numId w:val="1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т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ехнологические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7F3297F0" w14:textId="77777777" w:rsidR="00C173CF" w:rsidRPr="00226743" w:rsidRDefault="00C173CF" w:rsidP="00A576C6">
            <w:pPr>
              <w:pStyle w:val="a7"/>
              <w:numPr>
                <w:ilvl w:val="0"/>
                <w:numId w:val="1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ыночные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52FBC9B3" w14:textId="77777777" w:rsidR="00C173CF" w:rsidRPr="00226743" w:rsidRDefault="00C173CF" w:rsidP="00A576C6">
            <w:pPr>
              <w:pStyle w:val="a7"/>
              <w:numPr>
                <w:ilvl w:val="0"/>
                <w:numId w:val="1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епутационные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075A714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 рамках управления климатическими рисками Группа реализует следующие мероприятия:</w:t>
            </w:r>
          </w:p>
          <w:p w14:paraId="5C9775F1" w14:textId="77777777" w:rsidR="00C173CF" w:rsidRPr="00226743" w:rsidRDefault="00C173CF" w:rsidP="00A576C6">
            <w:pPr>
              <w:numPr>
                <w:ilvl w:val="0"/>
                <w:numId w:val="19"/>
              </w:numPr>
              <w:ind w:left="0" w:firstLine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инжиниринг и проектирование новых объектов и оборудования с учетом климатических особенностей;</w:t>
            </w:r>
          </w:p>
          <w:p w14:paraId="399489EC" w14:textId="77777777" w:rsidR="00C173CF" w:rsidRPr="00226743" w:rsidRDefault="00C173CF" w:rsidP="00A576C6">
            <w:pPr>
              <w:numPr>
                <w:ilvl w:val="0"/>
                <w:numId w:val="19"/>
              </w:numPr>
              <w:ind w:left="0" w:firstLine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разработка Климатической программы и реализация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инвестиционных и операционных проектов по снижению эмиссии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;</w:t>
            </w:r>
          </w:p>
          <w:p w14:paraId="127C07BE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взаимодействие с органами власти через участие в ассоциациях, рабочих группах, комментарии и корректировки к законопроектам по низкоуглеродному развитию.</w:t>
            </w:r>
          </w:p>
          <w:p w14:paraId="3B41B1CE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>Идентификация и оценка климатических рисков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проводятся качественными и количественными методами, включающими сценарный анализ и моделирование материальности риска (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Materiality</w:t>
            </w:r>
            <w:proofErr w:type="spellEnd"/>
            <w:proofErr w:type="gram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),  вероятности</w:t>
            </w:r>
            <w:proofErr w:type="gram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Probability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) и скорости его наступления (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Velocity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). Агрегированная информация о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профиле и изменениях в части климатических рисков раскрывается на «Риск-радаре» Группы НЛМК.</w:t>
            </w:r>
          </w:p>
        </w:tc>
        <w:tc>
          <w:tcPr>
            <w:tcW w:w="3731" w:type="dxa"/>
          </w:tcPr>
          <w:p w14:paraId="624F0500" w14:textId="77777777" w:rsidR="00C173CF" w:rsidRPr="00226743" w:rsidRDefault="00C173CF" w:rsidP="00A576C6">
            <w:pPr>
              <w:pStyle w:val="a7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Прямая эмиссия парниковых газов (охват 1):</w:t>
            </w:r>
          </w:p>
          <w:p w14:paraId="0C7FB0B0" w14:textId="77777777" w:rsidR="00C173CF" w:rsidRPr="00226743" w:rsidRDefault="00C173CF" w:rsidP="00A576C6">
            <w:pPr>
              <w:pStyle w:val="a7"/>
              <w:numPr>
                <w:ilvl w:val="1"/>
                <w:numId w:val="1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 xml:space="preserve">2,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 том числе стационарные источники (CH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4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, N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O).</w:t>
            </w:r>
          </w:p>
          <w:p w14:paraId="19AA01B1" w14:textId="77777777" w:rsidR="00C173CF" w:rsidRPr="00226743" w:rsidRDefault="00C173CF" w:rsidP="00A576C6">
            <w:pPr>
              <w:pStyle w:val="a7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Косвенная энергетическая эмиссия парниковых газов (охват 2), региональный метод.</w:t>
            </w:r>
          </w:p>
          <w:p w14:paraId="2A0FAE28" w14:textId="77777777" w:rsidR="00C173CF" w:rsidRPr="00226743" w:rsidRDefault="00C173CF" w:rsidP="00A576C6">
            <w:pPr>
              <w:pStyle w:val="a7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Косвенная энергетическая эмиссия парниковых газов (охват 2).</w:t>
            </w:r>
          </w:p>
          <w:p w14:paraId="3698F99E" w14:textId="77777777" w:rsidR="00C173CF" w:rsidRPr="00226743" w:rsidRDefault="00C173CF" w:rsidP="00A576C6">
            <w:pPr>
              <w:pStyle w:val="a7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Структура прямой эмиссии парниковых газов (охват 1) Группы по видам деятельности, %:</w:t>
            </w:r>
          </w:p>
          <w:p w14:paraId="25ACE802" w14:textId="77777777" w:rsidR="00C173CF" w:rsidRPr="00226743" w:rsidRDefault="00C173CF" w:rsidP="00A576C6">
            <w:pPr>
              <w:pStyle w:val="a7"/>
              <w:numPr>
                <w:ilvl w:val="1"/>
                <w:numId w:val="1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д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оменное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производство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754D64BF" w14:textId="77777777" w:rsidR="00C173CF" w:rsidRPr="00226743" w:rsidRDefault="00C173CF" w:rsidP="00A576C6">
            <w:pPr>
              <w:pStyle w:val="a7"/>
              <w:numPr>
                <w:ilvl w:val="1"/>
                <w:numId w:val="1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роизводство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энергоресурсов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351EF34A" w14:textId="77777777" w:rsidR="00C173CF" w:rsidRPr="00226743" w:rsidRDefault="00C173CF" w:rsidP="00A576C6">
            <w:pPr>
              <w:pStyle w:val="a7"/>
              <w:numPr>
                <w:ilvl w:val="1"/>
                <w:numId w:val="1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роизводство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железорудного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сырья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7F683A1E" w14:textId="77777777" w:rsidR="00C173CF" w:rsidRPr="00226743" w:rsidRDefault="00C173CF" w:rsidP="00A576C6">
            <w:pPr>
              <w:pStyle w:val="a7"/>
              <w:numPr>
                <w:ilvl w:val="1"/>
                <w:numId w:val="1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к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онвертерное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производство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5C8A81BD" w14:textId="77777777" w:rsidR="00C173CF" w:rsidRPr="00226743" w:rsidRDefault="00C173CF" w:rsidP="00A576C6">
            <w:pPr>
              <w:pStyle w:val="a7"/>
              <w:numPr>
                <w:ilvl w:val="1"/>
                <w:numId w:val="1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роизводство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извести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48A01EC7" w14:textId="77777777" w:rsidR="00C173CF" w:rsidRPr="00226743" w:rsidRDefault="00C173CF" w:rsidP="00A576C6">
            <w:pPr>
              <w:pStyle w:val="a7"/>
              <w:numPr>
                <w:ilvl w:val="1"/>
                <w:numId w:val="1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роизводство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кокса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41C9A072" w14:textId="77777777" w:rsidR="00C173CF" w:rsidRPr="00226743" w:rsidRDefault="00C173CF" w:rsidP="00A576C6">
            <w:pPr>
              <w:pStyle w:val="a7"/>
              <w:numPr>
                <w:ilvl w:val="1"/>
                <w:numId w:val="1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роизводство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отделка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проката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6F1CFB52" w14:textId="77777777" w:rsidR="00C173CF" w:rsidRPr="00226743" w:rsidRDefault="00C173CF" w:rsidP="00A576C6">
            <w:pPr>
              <w:pStyle w:val="a7"/>
              <w:numPr>
                <w:ilvl w:val="1"/>
                <w:numId w:val="1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э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лектросталеплавильное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lastRenderedPageBreak/>
              <w:t>производство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45E264B0" w14:textId="77777777" w:rsidR="00C173CF" w:rsidRPr="00226743" w:rsidRDefault="00C173CF" w:rsidP="00A576C6">
            <w:pPr>
              <w:pStyle w:val="a7"/>
              <w:numPr>
                <w:ilvl w:val="1"/>
                <w:numId w:val="1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ередвижные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источники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,</w:t>
            </w:r>
          </w:p>
          <w:p w14:paraId="193D7CFF" w14:textId="77777777" w:rsidR="00C173CF" w:rsidRPr="00226743" w:rsidRDefault="00C173CF" w:rsidP="00A576C6">
            <w:pPr>
              <w:pStyle w:val="a7"/>
              <w:numPr>
                <w:ilvl w:val="1"/>
                <w:numId w:val="1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роизводство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ферросплавов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66F0F9EF" w14:textId="77777777" w:rsidR="00C173CF" w:rsidRPr="00226743" w:rsidRDefault="00C173CF" w:rsidP="00A576C6">
            <w:pPr>
              <w:pStyle w:val="a7"/>
              <w:numPr>
                <w:ilvl w:val="1"/>
                <w:numId w:val="1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рочие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стационарные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операции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5B1219D" w14:textId="77777777" w:rsidR="00C173CF" w:rsidRPr="00226743" w:rsidRDefault="00C173CF" w:rsidP="00A576C6">
            <w:pPr>
              <w:pStyle w:val="a7"/>
              <w:numPr>
                <w:ilvl w:val="0"/>
                <w:numId w:val="14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Структура прочей косвенной эмиссии парниковых газов вверх по цепочке поставок (охват 3) Группы в разбивке по основным категориям, %.</w:t>
            </w:r>
          </w:p>
          <w:p w14:paraId="37634B11" w14:textId="77777777" w:rsidR="00C173CF" w:rsidRPr="00226743" w:rsidRDefault="00C173CF" w:rsidP="00A576C6">
            <w:pPr>
              <w:pStyle w:val="a7"/>
              <w:numPr>
                <w:ilvl w:val="0"/>
                <w:numId w:val="14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Удельная эмиссия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для стационарных источников Группы,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-эквивалента / т:</w:t>
            </w:r>
          </w:p>
          <w:p w14:paraId="7743AC81" w14:textId="77777777" w:rsidR="00C173CF" w:rsidRPr="00226743" w:rsidRDefault="00C173CF" w:rsidP="00A576C6">
            <w:pPr>
              <w:pStyle w:val="a7"/>
              <w:numPr>
                <w:ilvl w:val="0"/>
                <w:numId w:val="1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дельная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прямая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эмиссия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охват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1)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;</w:t>
            </w:r>
          </w:p>
          <w:p w14:paraId="7A3DCF30" w14:textId="77777777" w:rsidR="00C173CF" w:rsidRPr="00226743" w:rsidRDefault="00C173CF" w:rsidP="00A576C6">
            <w:pPr>
              <w:pStyle w:val="a7"/>
              <w:numPr>
                <w:ilvl w:val="0"/>
                <w:numId w:val="1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удельная косвенная энергетическая эмиссия (охват 2), региональный метод;</w:t>
            </w:r>
          </w:p>
          <w:p w14:paraId="30426E3B" w14:textId="77777777" w:rsidR="00C173CF" w:rsidRPr="00226743" w:rsidRDefault="00C173CF" w:rsidP="00A576C6">
            <w:pPr>
              <w:pStyle w:val="a7"/>
              <w:numPr>
                <w:ilvl w:val="0"/>
                <w:numId w:val="1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удельная косвенная энергетическая эмиссия (охват 2), рыночный метод;</w:t>
            </w:r>
          </w:p>
          <w:p w14:paraId="7F8BA8C5" w14:textId="77777777" w:rsidR="00C173CF" w:rsidRPr="00226743" w:rsidRDefault="00C173CF" w:rsidP="00A576C6">
            <w:pPr>
              <w:pStyle w:val="a7"/>
              <w:numPr>
                <w:ilvl w:val="0"/>
                <w:numId w:val="1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удельная суммарная эмиссия (охват 1 + охват 2, региональный метод);</w:t>
            </w:r>
          </w:p>
          <w:p w14:paraId="2BD67784" w14:textId="77777777" w:rsidR="00C173CF" w:rsidRPr="00226743" w:rsidRDefault="00C173CF" w:rsidP="00A576C6">
            <w:pPr>
              <w:pStyle w:val="a7"/>
              <w:numPr>
                <w:ilvl w:val="0"/>
                <w:numId w:val="1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удельная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суммарная эмиссия (охват 1 + охват 2, рыночный метод).</w:t>
            </w:r>
          </w:p>
          <w:p w14:paraId="5DB3D6CC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В качестве </w: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цели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Группа намерена снизить удельную эмиссию на 10 % к 2030 г. от уровня 2023 г. –до 1,69 т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/ т </w:t>
            </w:r>
            <w:r w:rsidRPr="00226743">
              <w:rPr>
                <w:rFonts w:ascii="Arial" w:hAnsi="Arial" w:cs="Arial"/>
                <w:sz w:val="28"/>
                <w:szCs w:val="28"/>
              </w:rPr>
              <w:t>Fe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или до 1,72 т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/ т стали. Для достижения цели рассматривается реализация следующих проектов:</w:t>
            </w:r>
          </w:p>
          <w:p w14:paraId="574433C3" w14:textId="77777777" w:rsidR="00C173CF" w:rsidRPr="00226743" w:rsidRDefault="00C173CF" w:rsidP="00A576C6">
            <w:pPr>
              <w:pStyle w:val="a7"/>
              <w:numPr>
                <w:ilvl w:val="0"/>
                <w:numId w:val="1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строительство модуля ГБЖ на 2,5 млн т на Стойленском ГОКе;</w:t>
            </w:r>
          </w:p>
          <w:p w14:paraId="6E82B001" w14:textId="77777777" w:rsidR="00C173CF" w:rsidRPr="00226743" w:rsidRDefault="00C173CF" w:rsidP="00A576C6">
            <w:pPr>
              <w:pStyle w:val="a7"/>
              <w:numPr>
                <w:ilvl w:val="0"/>
                <w:numId w:val="1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строительство ДСП на базе модуля ГБЖ;</w:t>
            </w:r>
          </w:p>
          <w:p w14:paraId="26A71358" w14:textId="77777777" w:rsidR="00C173CF" w:rsidRPr="00226743" w:rsidRDefault="00C173CF" w:rsidP="00A576C6">
            <w:pPr>
              <w:pStyle w:val="a7"/>
              <w:numPr>
                <w:ilvl w:val="0"/>
                <w:numId w:val="1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реализация эффективных проектов по декарбонизации существующей технологической цепочки, пилотных проектов CCUS, а также дальнейшее повышение операционной эффективности за счет сокращения потребления углеродсодержащего топлива, увеличения использования низкоуглеродной электроэнергии</w:t>
            </w:r>
          </w:p>
        </w:tc>
      </w:tr>
      <w:tr w:rsidR="00C173CF" w:rsidRPr="00226743" w14:paraId="78C37BDC" w14:textId="77777777" w:rsidTr="00970727">
        <w:tc>
          <w:tcPr>
            <w:tcW w:w="9265" w:type="dxa"/>
            <w:gridSpan w:val="4"/>
          </w:tcPr>
          <w:p w14:paraId="3009886D" w14:textId="77777777" w:rsidR="00C173CF" w:rsidRPr="00226743" w:rsidRDefault="00C173CF" w:rsidP="00A576C6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lastRenderedPageBreak/>
              <w:t>ПАО «Полюс»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(золотодобывающая компания) 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>[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 xml:space="preserve"> REF _Ref174377141 \r \h  \* MERGEFORMAT 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>]</w:t>
            </w:r>
          </w:p>
        </w:tc>
      </w:tr>
      <w:tr w:rsidR="00C173CF" w:rsidRPr="00226743" w14:paraId="5D79C59F" w14:textId="77777777" w:rsidTr="00970727">
        <w:tc>
          <w:tcPr>
            <w:tcW w:w="1369" w:type="dxa"/>
          </w:tcPr>
          <w:p w14:paraId="7E73A4F3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Информация отсутствует</w:t>
            </w:r>
          </w:p>
        </w:tc>
        <w:tc>
          <w:tcPr>
            <w:tcW w:w="1686" w:type="dxa"/>
          </w:tcPr>
          <w:p w14:paraId="358BEC33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 2021 г. «Полюс» приступил к разработке</w:t>
            </w:r>
          </w:p>
          <w:p w14:paraId="53F125FC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собственной климатической стратегии</w:t>
            </w:r>
          </w:p>
          <w:p w14:paraId="654B1CFF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и планирует ее опубликовать</w:t>
            </w:r>
          </w:p>
          <w:p w14:paraId="0DA4446C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 2022 г. Данная стратегия отразит долгосрочный подход Компании в области декарбонизации, а также мероприятия по управлению рисками, связанными с изменениями климата</w:t>
            </w:r>
          </w:p>
        </w:tc>
        <w:tc>
          <w:tcPr>
            <w:tcW w:w="2479" w:type="dxa"/>
          </w:tcPr>
          <w:p w14:paraId="71E19848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Информация отсутствует</w:t>
            </w:r>
          </w:p>
        </w:tc>
        <w:tc>
          <w:tcPr>
            <w:tcW w:w="3731" w:type="dxa"/>
          </w:tcPr>
          <w:p w14:paraId="769BF312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 2021 г. Компания выделяла следующие цели:</w:t>
            </w:r>
          </w:p>
          <w:p w14:paraId="57C8EF8D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1. Разработка климатической стратегии.</w:t>
            </w:r>
          </w:p>
          <w:p w14:paraId="529AD15C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2. Модернизация автоматизированных систем управления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топливноэнергетическими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ресурсами.</w:t>
            </w:r>
          </w:p>
          <w:p w14:paraId="185E87CC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Раскрываемые показатели:</w:t>
            </w:r>
          </w:p>
          <w:p w14:paraId="7D8C5A9F" w14:textId="77777777" w:rsidR="00C173CF" w:rsidRPr="00226743" w:rsidRDefault="00C173CF" w:rsidP="00A576C6">
            <w:pPr>
              <w:pStyle w:val="a7"/>
              <w:numPr>
                <w:ilvl w:val="0"/>
                <w:numId w:val="2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доля энергии из возобновляемых источников в объеме потребления электроэнергии на производственных предприятиях «Полюса»;</w:t>
            </w:r>
          </w:p>
          <w:p w14:paraId="0C7D8AD6" w14:textId="77777777" w:rsidR="00C173CF" w:rsidRPr="00226743" w:rsidRDefault="00C173CF" w:rsidP="00A576C6">
            <w:pPr>
              <w:pStyle w:val="a7"/>
              <w:numPr>
                <w:ilvl w:val="0"/>
                <w:numId w:val="2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выбросы парниковых газов в абсолютном и удельном выражении:</w:t>
            </w:r>
          </w:p>
          <w:p w14:paraId="4743FDFF" w14:textId="77777777" w:rsidR="00C173CF" w:rsidRPr="00226743" w:rsidRDefault="00C173CF" w:rsidP="00A576C6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косвенные, млн т </w:t>
            </w:r>
            <w:r w:rsidRPr="00226743">
              <w:rPr>
                <w:rFonts w:ascii="Arial" w:hAnsi="Arial" w:cs="Arial"/>
                <w:sz w:val="28"/>
                <w:szCs w:val="28"/>
              </w:rPr>
              <w:t>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-эквивалента;</w:t>
            </w:r>
          </w:p>
          <w:p w14:paraId="1673F9B4" w14:textId="77777777" w:rsidR="00C173CF" w:rsidRPr="00226743" w:rsidRDefault="00C173CF" w:rsidP="00A576C6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удельные, кг </w:t>
            </w:r>
            <w:r w:rsidRPr="00226743">
              <w:rPr>
                <w:rFonts w:ascii="Arial" w:hAnsi="Arial" w:cs="Arial"/>
                <w:sz w:val="28"/>
                <w:szCs w:val="28"/>
              </w:rPr>
              <w:t>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-эквивалента на 1 т переработанной руды.</w:t>
            </w:r>
          </w:p>
          <w:p w14:paraId="7A3F2E9A" w14:textId="77777777" w:rsidR="00C173CF" w:rsidRPr="00226743" w:rsidRDefault="00C173CF" w:rsidP="00A576C6">
            <w:pPr>
              <w:pStyle w:val="a7"/>
              <w:numPr>
                <w:ilvl w:val="0"/>
                <w:numId w:val="22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общие прямые выбросы парниковых газов по источникам в 2021 г., тыс. т </w:t>
            </w:r>
            <w:r w:rsidRPr="00226743">
              <w:rPr>
                <w:rFonts w:ascii="Arial" w:hAnsi="Arial" w:cs="Arial"/>
                <w:sz w:val="28"/>
                <w:szCs w:val="28"/>
              </w:rPr>
              <w:t>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-эквивалента:</w:t>
            </w:r>
          </w:p>
          <w:p w14:paraId="64EBBD55" w14:textId="77777777" w:rsidR="00C173CF" w:rsidRPr="00226743" w:rsidRDefault="00C173CF" w:rsidP="00A576C6">
            <w:pPr>
              <w:pStyle w:val="a7"/>
              <w:numPr>
                <w:ilvl w:val="0"/>
                <w:numId w:val="2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дизельное топливо,</w:t>
            </w:r>
          </w:p>
          <w:p w14:paraId="42CB5B97" w14:textId="77777777" w:rsidR="00C173CF" w:rsidRPr="00226743" w:rsidRDefault="00C173CF" w:rsidP="00A576C6">
            <w:pPr>
              <w:pStyle w:val="a7"/>
              <w:numPr>
                <w:ilvl w:val="0"/>
                <w:numId w:val="2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уголь,</w:t>
            </w:r>
          </w:p>
          <w:p w14:paraId="0E859769" w14:textId="77777777" w:rsidR="00C173CF" w:rsidRPr="00226743" w:rsidRDefault="00C173CF" w:rsidP="00A576C6">
            <w:pPr>
              <w:pStyle w:val="a7"/>
              <w:numPr>
                <w:ilvl w:val="0"/>
                <w:numId w:val="2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обжиг извести,</w:t>
            </w:r>
          </w:p>
          <w:p w14:paraId="360E4BAC" w14:textId="77777777" w:rsidR="00C173CF" w:rsidRPr="00226743" w:rsidRDefault="00C173CF" w:rsidP="00A576C6">
            <w:pPr>
              <w:pStyle w:val="a7"/>
              <w:numPr>
                <w:ilvl w:val="0"/>
                <w:numId w:val="2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бензин и другие нефтепродукты</w:t>
            </w:r>
          </w:p>
        </w:tc>
      </w:tr>
      <w:tr w:rsidR="00C173CF" w:rsidRPr="00226743" w14:paraId="31FA4B8C" w14:textId="77777777" w:rsidTr="00970727">
        <w:tc>
          <w:tcPr>
            <w:tcW w:w="9265" w:type="dxa"/>
            <w:gridSpan w:val="4"/>
          </w:tcPr>
          <w:p w14:paraId="239F512F" w14:textId="77777777" w:rsidR="00C173CF" w:rsidRPr="00226743" w:rsidRDefault="00C173CF" w:rsidP="00A576C6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lastRenderedPageBreak/>
              <w:t>ПАО «Татнефть» (нефтяная компания)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[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 xml:space="preserve"> REF _Ref173356253 \r \h  \* MERGEFORMAT 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>]</w:t>
            </w:r>
          </w:p>
        </w:tc>
      </w:tr>
      <w:tr w:rsidR="00C173CF" w:rsidRPr="00226743" w14:paraId="7D52F8EF" w14:textId="77777777" w:rsidTr="00970727">
        <w:tc>
          <w:tcPr>
            <w:tcW w:w="1369" w:type="dxa"/>
          </w:tcPr>
          <w:p w14:paraId="6A30FAAC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Независимый директор Ласло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Гереч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, ответственный за климатическую повестку, тесно взаимодействует с другими членами Совета директоров и менеджментом компании в отношении планов, инициатив, целей и действий, связанных с рисками и возможностями, относящимся к климату.</w:t>
            </w:r>
          </w:p>
          <w:p w14:paraId="740D76E4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Учет климатических рисков и возможностей, связанных с изменением климата, является обязательным при принятии руководящих решений в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компании. Топ-менеджмент несет ответственность за учет климатических аспектов при определении стратегии развития Группы «Татнефть», определении возможностей по снижению выбросов парниковых газов. В 2021 г. целевые показатели по выбросам парниковых газов включены в КПЭ руководителей бизнес-направлений</w:t>
            </w:r>
          </w:p>
        </w:tc>
        <w:tc>
          <w:tcPr>
            <w:tcW w:w="1686" w:type="dxa"/>
          </w:tcPr>
          <w:p w14:paraId="439703EF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Стратегическая цель компании – углеродная нейтральность к 2050 г.</w:t>
            </w:r>
          </w:p>
          <w:p w14:paraId="137ED273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2479" w:type="dxa"/>
          </w:tcPr>
          <w:p w14:paraId="035C4B77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Информация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3731" w:type="dxa"/>
          </w:tcPr>
          <w:p w14:paraId="06C7C4DD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Стратегическая цель компании – углеродная нейтральность к 2050 г.</w:t>
            </w:r>
          </w:p>
          <w:p w14:paraId="38D80157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Компания раскрывает намного больше показателей, чем предыдущие две:</w:t>
            </w:r>
          </w:p>
          <w:p w14:paraId="51B84324" w14:textId="77777777" w:rsidR="00C173CF" w:rsidRPr="00226743" w:rsidRDefault="00C173CF" w:rsidP="00A576C6">
            <w:pPr>
              <w:pStyle w:val="a7"/>
              <w:numPr>
                <w:ilvl w:val="0"/>
                <w:numId w:val="24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Прямые выбросы парниковых газов (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Scope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1), млн т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-экв., в том числе по бизнес-направлениям (разведка и добыча,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нефтегазопререработка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, шинный бизнес, энергетика, розничный бизнес, машиностроение,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нефтегазогеохимия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).</w:t>
            </w:r>
          </w:p>
          <w:p w14:paraId="24F4A26F" w14:textId="77777777" w:rsidR="00C173CF" w:rsidRPr="00226743" w:rsidRDefault="00C173CF" w:rsidP="00A576C6">
            <w:pPr>
              <w:pStyle w:val="a7"/>
              <w:numPr>
                <w:ilvl w:val="0"/>
                <w:numId w:val="24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Косвенные выбросы парниковых газов (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Scope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2), млн т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-экв., в том числе по бизнес-направлениям.</w:t>
            </w:r>
          </w:p>
          <w:p w14:paraId="58083472" w14:textId="77777777" w:rsidR="00C173CF" w:rsidRPr="00226743" w:rsidRDefault="00C173CF" w:rsidP="00A576C6">
            <w:pPr>
              <w:pStyle w:val="a7"/>
              <w:numPr>
                <w:ilvl w:val="0"/>
                <w:numId w:val="24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Другие косвенные выбросы парниковых газов (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Scope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3) **, млн т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-экв., в том числе по бизнес-направлениям.</w:t>
            </w:r>
          </w:p>
          <w:p w14:paraId="4DD0D520" w14:textId="77777777" w:rsidR="00C173CF" w:rsidRPr="00226743" w:rsidRDefault="00C173CF" w:rsidP="00A576C6">
            <w:pPr>
              <w:pStyle w:val="a7"/>
              <w:numPr>
                <w:ilvl w:val="0"/>
                <w:numId w:val="24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Интенсивность выбросов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Scope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1.</w:t>
            </w:r>
          </w:p>
          <w:p w14:paraId="5F8D130D" w14:textId="77777777" w:rsidR="00C173CF" w:rsidRPr="00226743" w:rsidRDefault="00C173CF" w:rsidP="00A576C6">
            <w:pPr>
              <w:pStyle w:val="a7"/>
              <w:numPr>
                <w:ilvl w:val="0"/>
                <w:numId w:val="24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Интенсивность выбросов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Scope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1 +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Scope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2.</w:t>
            </w:r>
          </w:p>
          <w:p w14:paraId="4220BF2D" w14:textId="77777777" w:rsidR="00C173CF" w:rsidRPr="00226743" w:rsidRDefault="00C173CF" w:rsidP="00A576C6">
            <w:pPr>
              <w:pStyle w:val="a7"/>
              <w:numPr>
                <w:ilvl w:val="0"/>
                <w:numId w:val="24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Состав выбросов газообразных вредных веществ по Группе «Татнефть», %</w:t>
            </w:r>
          </w:p>
        </w:tc>
      </w:tr>
      <w:tr w:rsidR="00C173CF" w:rsidRPr="00226743" w14:paraId="6BFDCCD7" w14:textId="77777777" w:rsidTr="00970727">
        <w:tc>
          <w:tcPr>
            <w:tcW w:w="9265" w:type="dxa"/>
            <w:gridSpan w:val="4"/>
          </w:tcPr>
          <w:p w14:paraId="7324F5FC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lastRenderedPageBreak/>
              <w:t>ПАО «ФОСАГРО» (производство удобрений)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[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 xml:space="preserve"> REF _Ref174377763 \r \h  \* MERGEFORMAT 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>]</w:t>
            </w:r>
          </w:p>
        </w:tc>
      </w:tr>
      <w:tr w:rsidR="00C173CF" w:rsidRPr="00226743" w14:paraId="0B97E967" w14:textId="77777777" w:rsidTr="00970727">
        <w:tc>
          <w:tcPr>
            <w:tcW w:w="1369" w:type="dxa"/>
          </w:tcPr>
          <w:p w14:paraId="02A83D89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Раскрыта структура системы экологического менеджмента компании с описанием подхода к управлению для Совета </w:t>
            </w:r>
            <w:proofErr w:type="gram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директоров,  Комитета</w:t>
            </w:r>
            <w:proofErr w:type="gram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по устойчивому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развитию совета директоров, Комитета по охране труда, промышленной безопасности и охране окружающей среды, Управления экологии и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приро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допользования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АО «Апатит»,</w:t>
            </w:r>
          </w:p>
          <w:p w14:paraId="0B4D53C4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Службы экологического контроля и природопользования. В отдельном отчете TCFD приводится система корпоративного управления климатической повесткой</w:t>
            </w:r>
          </w:p>
        </w:tc>
        <w:tc>
          <w:tcPr>
            <w:tcW w:w="1686" w:type="dxa"/>
          </w:tcPr>
          <w:p w14:paraId="30933304" w14:textId="77777777" w:rsidR="00C173CF" w:rsidRPr="00226743" w:rsidRDefault="00C173CF" w:rsidP="00A576C6">
            <w:pPr>
              <w:pStyle w:val="a7"/>
              <w:numPr>
                <w:ilvl w:val="0"/>
                <w:numId w:val="27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В 2020 г. компания разработала Климатическую стратегию, которая объединила видение и опыт Группы «</w:t>
            </w:r>
            <w:proofErr w:type="gram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ФосАгро»  в</w:t>
            </w:r>
            <w:proofErr w:type="gram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области управления выбросами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парниковых газов. В стратегии в деталях рассмотрены климатические риски и возможности, определены целевые показатели выбросов парниковых газов по всем трем охватам, разработан план низкоуглеродного перехода.</w:t>
            </w:r>
          </w:p>
          <w:p w14:paraId="1A18DC64" w14:textId="77777777" w:rsidR="00C173CF" w:rsidRPr="00226743" w:rsidRDefault="00C173CF" w:rsidP="00A576C6">
            <w:pPr>
              <w:pStyle w:val="a7"/>
              <w:numPr>
                <w:ilvl w:val="0"/>
                <w:numId w:val="2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Группой «ФосАгро» реализуется программа повышения энергоэффективности, разработанная для обеспечения выполнения положений Климатической стратегии и Политики в области энергоэффективности и энергосбережения, которые являются неотъемлемой частью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Стратегии</w:t>
            </w:r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развития Компании до 2025 г.</w:t>
            </w:r>
          </w:p>
        </w:tc>
        <w:tc>
          <w:tcPr>
            <w:tcW w:w="2479" w:type="dxa"/>
          </w:tcPr>
          <w:p w14:paraId="46CB988B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Оценка климатических рисков компании проводится на основе наиболее авторитетных международных оценок в данной области (International</w:t>
            </w:r>
          </w:p>
          <w:p w14:paraId="0BA7F523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6743">
              <w:rPr>
                <w:rFonts w:ascii="Arial" w:hAnsi="Arial" w:cs="Arial"/>
                <w:sz w:val="28"/>
                <w:szCs w:val="28"/>
              </w:rPr>
              <w:t xml:space="preserve">Energy Agency, </w:t>
            </w:r>
            <w:r w:rsidRPr="00226743">
              <w:rPr>
                <w:rFonts w:ascii="Arial" w:hAnsi="Arial" w:cs="Arial"/>
                <w:sz w:val="28"/>
                <w:szCs w:val="28"/>
              </w:rPr>
              <w:lastRenderedPageBreak/>
              <w:t>Intergovernmental Panel on Climate</w:t>
            </w:r>
          </w:p>
          <w:p w14:paraId="4573F969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Change) с учетом неопределенности, связанной с субъективностью оценок в отношении компании.</w:t>
            </w:r>
          </w:p>
          <w:p w14:paraId="0D3405BE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Компания выявила следующие климатические риски:</w:t>
            </w:r>
          </w:p>
          <w:p w14:paraId="1FCD0046" w14:textId="77777777" w:rsidR="00C173CF" w:rsidRPr="00226743" w:rsidRDefault="00C173CF" w:rsidP="00A576C6">
            <w:pPr>
              <w:pStyle w:val="a7"/>
              <w:numPr>
                <w:ilvl w:val="0"/>
                <w:numId w:val="3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Нарушение технологических процессов производства и логистических операций вследствие усиливающихся острых климатических воздействий и других климатических факторов.</w:t>
            </w:r>
          </w:p>
          <w:p w14:paraId="16904464" w14:textId="77777777" w:rsidR="00C173CF" w:rsidRPr="00226743" w:rsidRDefault="00C173CF" w:rsidP="00A576C6">
            <w:pPr>
              <w:pStyle w:val="a7"/>
              <w:numPr>
                <w:ilvl w:val="0"/>
                <w:numId w:val="3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Сбои в цепочках поставок, проектировании объектов строительства, обеспечении охраны труда и промышленной безопасности,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негативное воздействие на экосистемы и снижение потоков экосистемных услуг, снижение устойчивости объектов инфраструктуры и коммуникаций вследствие усиливающихся климатических воздействий.</w:t>
            </w:r>
          </w:p>
          <w:p w14:paraId="379C6454" w14:textId="77777777" w:rsidR="00C173CF" w:rsidRPr="00226743" w:rsidRDefault="00C173CF" w:rsidP="00A576C6">
            <w:pPr>
              <w:pStyle w:val="a7"/>
              <w:numPr>
                <w:ilvl w:val="0"/>
                <w:numId w:val="3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Несоответствие параметров деятельности компании нормативным требованиям по ограничению негативного воздействия на климат (в результате введения трансграничного углеродного налога).</w:t>
            </w:r>
          </w:p>
          <w:p w14:paraId="05C1C69B" w14:textId="77777777" w:rsidR="00C173CF" w:rsidRPr="00226743" w:rsidRDefault="00C173CF" w:rsidP="00A576C6">
            <w:pPr>
              <w:pStyle w:val="a7"/>
              <w:numPr>
                <w:ilvl w:val="0"/>
                <w:numId w:val="3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Ухудшение репутации компании по критериям обеспечения устойчивого роста.</w:t>
            </w:r>
          </w:p>
          <w:p w14:paraId="75ECE4D9" w14:textId="77777777" w:rsidR="00C173CF" w:rsidRPr="00226743" w:rsidRDefault="00C173CF" w:rsidP="00A576C6">
            <w:pPr>
              <w:pStyle w:val="a7"/>
              <w:numPr>
                <w:ilvl w:val="0"/>
                <w:numId w:val="3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Рост затрат и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убытков (в результате неспособности покупателей выполнять свои обязательства, роста цен на </w:t>
            </w:r>
            <w:proofErr w:type="gram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сырье,  материалы</w:t>
            </w:r>
            <w:proofErr w:type="gram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и услуги, повышения ставок заимствований), а также снижение доходов (в результате сокращения объемов продаж, уменьшения количества потребителей, стран и регионов поставки продукции Компании)</w:t>
            </w:r>
          </w:p>
        </w:tc>
        <w:tc>
          <w:tcPr>
            <w:tcW w:w="3731" w:type="dxa"/>
          </w:tcPr>
          <w:p w14:paraId="1C14500C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lastRenderedPageBreak/>
              <w:t>Цели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Компании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524F8F89" w14:textId="77777777" w:rsidR="00C173CF" w:rsidRPr="00226743" w:rsidRDefault="00C173CF" w:rsidP="00A576C6">
            <w:pPr>
              <w:pStyle w:val="a7"/>
              <w:numPr>
                <w:ilvl w:val="0"/>
                <w:numId w:val="2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снизить валовые выбросы парниковых газов (охваты 1, 2, 3) на 14 % к 2028 г. г. от уровня 2018 г.;</w:t>
            </w:r>
          </w:p>
          <w:p w14:paraId="514256EE" w14:textId="77777777" w:rsidR="00C173CF" w:rsidRPr="00226743" w:rsidRDefault="00C173CF" w:rsidP="00A576C6">
            <w:pPr>
              <w:pStyle w:val="a7"/>
              <w:numPr>
                <w:ilvl w:val="0"/>
                <w:numId w:val="2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сократить удельные выбросы парниковых газов (охват 1) на тонну продукции и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полуфабрикатов на 31 % к 2028 г. от уровня 2018 г.</w:t>
            </w:r>
          </w:p>
          <w:p w14:paraId="790DD255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Климатической стратегией компании определены следующие цели:</w:t>
            </w:r>
          </w:p>
          <w:p w14:paraId="224AF9F9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&gt; сокращение выбросов парниковых газов при увеличении производства продукции;</w:t>
            </w:r>
          </w:p>
          <w:p w14:paraId="316478EF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&gt; повышение энергетической и экологической эффективности основных технологических процессов;</w:t>
            </w:r>
          </w:p>
          <w:p w14:paraId="76803A7E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&gt; снижение энерго- и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углеродоемкости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выпускаемой продукции;</w:t>
            </w:r>
          </w:p>
          <w:p w14:paraId="3050F387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&gt; выход на новые формирующиеся рынки зеленой продукции;</w:t>
            </w:r>
          </w:p>
          <w:p w14:paraId="2C9B5058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&gt; сохранение и расширение существующих рыночных ниш за счет обеспечения конкурентоспособности продукции Группы «ФосАгро» по уровню их энерго- и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углеродоемкости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  <w:p w14:paraId="5D6612B0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 рамках показателей раскрывается следующая информация:</w:t>
            </w:r>
          </w:p>
          <w:p w14:paraId="2FE7D829" w14:textId="77777777" w:rsidR="00C173CF" w:rsidRPr="00226743" w:rsidRDefault="00C173CF" w:rsidP="00A576C6">
            <w:pPr>
              <w:pStyle w:val="a7"/>
              <w:numPr>
                <w:ilvl w:val="0"/>
                <w:numId w:val="2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валовые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выбросы охватов 1, 2 в целом по ФосАгро,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метрич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.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-экв.;</w:t>
            </w:r>
          </w:p>
          <w:p w14:paraId="6C5C57C9" w14:textId="77777777" w:rsidR="00C173CF" w:rsidRPr="00226743" w:rsidRDefault="00C173CF" w:rsidP="00A576C6">
            <w:pPr>
              <w:pStyle w:val="a7"/>
              <w:numPr>
                <w:ilvl w:val="0"/>
                <w:numId w:val="2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прочие косвенные выбросы (охват 3);</w:t>
            </w:r>
          </w:p>
          <w:p w14:paraId="2DA0B162" w14:textId="77777777" w:rsidR="00C173CF" w:rsidRPr="00226743" w:rsidRDefault="00C173CF" w:rsidP="00A576C6">
            <w:pPr>
              <w:pStyle w:val="a7"/>
              <w:numPr>
                <w:ilvl w:val="0"/>
                <w:numId w:val="2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удельные выбросы парниковых газов в целом по ФосАгро;</w:t>
            </w:r>
          </w:p>
          <w:p w14:paraId="08C1BDB8" w14:textId="77777777" w:rsidR="00C173CF" w:rsidRPr="00226743" w:rsidRDefault="00C173CF" w:rsidP="00A576C6">
            <w:pPr>
              <w:pStyle w:val="a7"/>
              <w:numPr>
                <w:ilvl w:val="0"/>
                <w:numId w:val="2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показатели энергоэффективности (объем валового потребления электроэнергии, самообеспеченность электроэнергией, произведенная электроэнергия на единицу производимой продукции и полуфабрикатов).</w:t>
            </w:r>
          </w:p>
        </w:tc>
      </w:tr>
      <w:tr w:rsidR="00C173CF" w:rsidRPr="00226743" w14:paraId="3C4250E5" w14:textId="77777777" w:rsidTr="00970727">
        <w:tc>
          <w:tcPr>
            <w:tcW w:w="9265" w:type="dxa"/>
            <w:gridSpan w:val="4"/>
          </w:tcPr>
          <w:p w14:paraId="5DE1D8AD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lastRenderedPageBreak/>
              <w:t>ООО «ЕВРАЗ» (металлургическая и горнодобывающая компания) [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instrText xml:space="preserve"> 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>REF</w:instrTex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instrText xml:space="preserve"> _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>Ref</w:instrTex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instrText>174377774 \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>r</w:instrTex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instrText xml:space="preserve"> \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>h</w:instrTex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instrText xml:space="preserve"> 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 xml:space="preserve"> \* MERGEFORMAT 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>7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>]</w:t>
            </w:r>
          </w:p>
        </w:tc>
      </w:tr>
      <w:tr w:rsidR="00C173CF" w:rsidRPr="00226743" w14:paraId="4FDEF8ED" w14:textId="77777777" w:rsidTr="00970727">
        <w:tc>
          <w:tcPr>
            <w:tcW w:w="1369" w:type="dxa"/>
          </w:tcPr>
          <w:p w14:paraId="5726382F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Компания раскрывает информацию об ответственных за борьбу с изменениями климата и основные полномочия для: совета </w:t>
            </w:r>
            <w:proofErr w:type="gram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директоров,  комитета</w:t>
            </w:r>
            <w:proofErr w:type="gram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по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аудиту, комитета по устойчивому развитию, Президента, Группы по управлению рисками и др.</w:t>
            </w:r>
          </w:p>
        </w:tc>
        <w:tc>
          <w:tcPr>
            <w:tcW w:w="1686" w:type="dxa"/>
          </w:tcPr>
          <w:p w14:paraId="7046387D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ЕВРАЗ продолжает работу над Стратегией в области изменения климата, включая анализ различных сценариев, выявление соответствующих рисков и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проблем, а также способов их преодоления</w:t>
            </w:r>
          </w:p>
        </w:tc>
        <w:tc>
          <w:tcPr>
            <w:tcW w:w="2479" w:type="dxa"/>
          </w:tcPr>
          <w:p w14:paraId="50F2164F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В качестве основного сценария для оценки существенности рисков и стратегического планирования ЕВРАЗ рассматривает сценарий Парижского соглашения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(соответствует повышению среднемировой температуры на 2 °C). Группа определяет климатические риски в краткосрочной, среднесрочной и долгосрочной перспективе.</w:t>
            </w:r>
          </w:p>
          <w:p w14:paraId="724EBB20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Компания не только приводит риски, но и раскрывает ключевые инициативы по управлению рисками:</w:t>
            </w:r>
          </w:p>
          <w:p w14:paraId="516DA014" w14:textId="77777777" w:rsidR="00C173CF" w:rsidRPr="00226743" w:rsidRDefault="00C173CF" w:rsidP="00A576C6">
            <w:pPr>
              <w:pStyle w:val="a7"/>
              <w:numPr>
                <w:ilvl w:val="0"/>
                <w:numId w:val="4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риски изменения законодательства;</w:t>
            </w:r>
          </w:p>
          <w:p w14:paraId="75A2F701" w14:textId="77777777" w:rsidR="00C173CF" w:rsidRPr="00226743" w:rsidRDefault="00C173CF" w:rsidP="00A576C6">
            <w:pPr>
              <w:pStyle w:val="a7"/>
              <w:numPr>
                <w:ilvl w:val="0"/>
                <w:numId w:val="4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репетиционные риски;</w:t>
            </w:r>
          </w:p>
          <w:p w14:paraId="07EAD61B" w14:textId="77777777" w:rsidR="00C173CF" w:rsidRPr="00226743" w:rsidRDefault="00C173CF" w:rsidP="00A576C6">
            <w:pPr>
              <w:pStyle w:val="a7"/>
              <w:numPr>
                <w:ilvl w:val="0"/>
                <w:numId w:val="4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технологические риски;</w:t>
            </w:r>
          </w:p>
          <w:p w14:paraId="57247D49" w14:textId="77777777" w:rsidR="00C173CF" w:rsidRPr="00226743" w:rsidRDefault="00C173CF" w:rsidP="00A576C6">
            <w:pPr>
              <w:pStyle w:val="a7"/>
              <w:numPr>
                <w:ilvl w:val="0"/>
                <w:numId w:val="4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рыночные риски;</w:t>
            </w:r>
          </w:p>
          <w:p w14:paraId="2DE72B31" w14:textId="77777777" w:rsidR="00C173CF" w:rsidRPr="00226743" w:rsidRDefault="00C173CF" w:rsidP="00A576C6">
            <w:pPr>
              <w:pStyle w:val="a7"/>
              <w:numPr>
                <w:ilvl w:val="0"/>
                <w:numId w:val="4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физические риски</w:t>
            </w:r>
          </w:p>
        </w:tc>
        <w:tc>
          <w:tcPr>
            <w:tcW w:w="3731" w:type="dxa"/>
          </w:tcPr>
          <w:p w14:paraId="1870D031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В 2021 г. ЕВРАЗ обновил свой целевой показатель по декарбонизации – сохранить выбросы парниковых газов на уровне не более 2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-эквивалента на тонну стали, который был первоначально установлен в 2017 г., в связи с его заблаговременным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достижением.  Новая цель – добиться к 2030 г. сокращения удельных выбросов ПГ от сталеплавильных производств (области охвата 1, 2) на 20 % по сравнению с 2019 г. Достижение этого показателя позволит Группе внести свой вклад в выполнение озвученных сторонами обязательств по Парижскому соглашению.</w:t>
            </w:r>
          </w:p>
          <w:p w14:paraId="3AEFB607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 рамках показателей компания раскрывает следующие критерии:</w:t>
            </w:r>
          </w:p>
          <w:p w14:paraId="1926F64C" w14:textId="77777777" w:rsidR="00C173CF" w:rsidRPr="00226743" w:rsidRDefault="00C173CF" w:rsidP="00A576C6">
            <w:pPr>
              <w:pStyle w:val="a7"/>
              <w:numPr>
                <w:ilvl w:val="0"/>
                <w:numId w:val="31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структура выбросов парниковых газов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ЕВРАЗа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в 2017–2021 гг., млн тCO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-экв.;</w:t>
            </w:r>
          </w:p>
          <w:p w14:paraId="06C38D97" w14:textId="77777777" w:rsidR="00C173CF" w:rsidRPr="00226743" w:rsidRDefault="00C173CF" w:rsidP="00A576C6">
            <w:pPr>
              <w:pStyle w:val="a7"/>
              <w:numPr>
                <w:ilvl w:val="0"/>
                <w:numId w:val="31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выбросы парниковых газов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ЕВРАЗа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в разбивке по сегментам в 2021 г., млн т.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-экв.;</w:t>
            </w:r>
          </w:p>
          <w:p w14:paraId="171B9461" w14:textId="77777777" w:rsidR="00C173CF" w:rsidRPr="00226743" w:rsidRDefault="00C173CF" w:rsidP="00A576C6">
            <w:pPr>
              <w:pStyle w:val="a7"/>
              <w:numPr>
                <w:ilvl w:val="0"/>
                <w:numId w:val="31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выбросы парниковых газов области охвата 3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ЕВРАЗа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в разбивке по типам выбросов в 2020 г., %;</w:t>
            </w:r>
          </w:p>
          <w:p w14:paraId="1817FB66" w14:textId="77777777" w:rsidR="00C173CF" w:rsidRPr="00226743" w:rsidRDefault="00C173CF" w:rsidP="00A576C6">
            <w:pPr>
              <w:pStyle w:val="a7"/>
              <w:numPr>
                <w:ilvl w:val="0"/>
                <w:numId w:val="31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интенсивность выбросов парниковых газов (области охвата 1 и 2) от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производства стали, т CO2-экв. на тонну стали;</w:t>
            </w:r>
          </w:p>
          <w:p w14:paraId="6B142755" w14:textId="77777777" w:rsidR="00C173CF" w:rsidRPr="00226743" w:rsidRDefault="00C173CF" w:rsidP="00A576C6">
            <w:pPr>
              <w:pStyle w:val="a7"/>
              <w:numPr>
                <w:ilvl w:val="0"/>
                <w:numId w:val="31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выбросы парниковых газов области охвата 3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ЕВРАЗа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в разбивке по сегментам, млн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-экв.;</w:t>
            </w:r>
          </w:p>
          <w:p w14:paraId="7F35D951" w14:textId="77777777" w:rsidR="00C173CF" w:rsidRPr="00226743" w:rsidRDefault="00C173CF" w:rsidP="00A576C6">
            <w:pPr>
              <w:pStyle w:val="a7"/>
              <w:numPr>
                <w:ilvl w:val="0"/>
                <w:numId w:val="31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интенсивность выбросов углерода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ЕВРАЗа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(области охвата 1 и 2) от производства стали,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 на тонну стали</w:t>
            </w:r>
          </w:p>
        </w:tc>
      </w:tr>
    </w:tbl>
    <w:p w14:paraId="0996B521" w14:textId="77777777" w:rsidR="00A576C6" w:rsidRDefault="00A576C6" w:rsidP="00A576C6">
      <w:pPr>
        <w:tabs>
          <w:tab w:val="left" w:pos="2031"/>
        </w:tabs>
        <w:rPr>
          <w:rFonts w:ascii="Arial" w:hAnsi="Arial" w:cs="Arial"/>
          <w:sz w:val="28"/>
          <w:szCs w:val="28"/>
          <w:lang w:val="ru-RU"/>
        </w:rPr>
      </w:pPr>
    </w:p>
    <w:p w14:paraId="07B027B9" w14:textId="678C39EA" w:rsidR="00C173CF" w:rsidRPr="00226743" w:rsidRDefault="00C173CF" w:rsidP="00A576C6">
      <w:pPr>
        <w:tabs>
          <w:tab w:val="left" w:pos="2031"/>
        </w:tabs>
        <w:rPr>
          <w:rFonts w:ascii="Arial" w:hAnsi="Arial" w:cs="Arial"/>
          <w:sz w:val="28"/>
          <w:szCs w:val="28"/>
          <w:lang w:val="ru-RU"/>
        </w:rPr>
      </w:pPr>
      <w:r w:rsidRPr="00226743">
        <w:rPr>
          <w:rFonts w:ascii="Arial" w:hAnsi="Arial" w:cs="Arial"/>
          <w:sz w:val="28"/>
          <w:szCs w:val="28"/>
          <w:lang w:val="ru-RU"/>
        </w:rPr>
        <w:t>Таблица 2. Обзор раскрытия климатической информации компаниями в 2023 г.</w:t>
      </w:r>
    </w:p>
    <w:tbl>
      <w:tblPr>
        <w:tblStyle w:val="ae"/>
        <w:tblW w:w="0" w:type="auto"/>
        <w:tblInd w:w="-743" w:type="dxa"/>
        <w:tblLook w:val="04A0" w:firstRow="1" w:lastRow="0" w:firstColumn="1" w:lastColumn="0" w:noHBand="0" w:noVBand="1"/>
      </w:tblPr>
      <w:tblGrid>
        <w:gridCol w:w="2462"/>
        <w:gridCol w:w="2521"/>
        <w:gridCol w:w="2584"/>
        <w:gridCol w:w="2521"/>
      </w:tblGrid>
      <w:tr w:rsidR="00C173CF" w:rsidRPr="00226743" w14:paraId="76C7B575" w14:textId="77777777" w:rsidTr="00970727">
        <w:trPr>
          <w:tblHeader/>
        </w:trPr>
        <w:tc>
          <w:tcPr>
            <w:tcW w:w="1682" w:type="dxa"/>
          </w:tcPr>
          <w:p w14:paraId="0BF08973" w14:textId="77777777" w:rsidR="00C173CF" w:rsidRPr="00226743" w:rsidRDefault="00C173CF" w:rsidP="00A576C6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Корпоративное</w:t>
            </w:r>
            <w:proofErr w:type="spellEnd"/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управление</w:t>
            </w:r>
            <w:proofErr w:type="spellEnd"/>
          </w:p>
        </w:tc>
        <w:tc>
          <w:tcPr>
            <w:tcW w:w="2414" w:type="dxa"/>
          </w:tcPr>
          <w:p w14:paraId="25D5BED2" w14:textId="77777777" w:rsidR="00C173CF" w:rsidRPr="00226743" w:rsidRDefault="00C173CF" w:rsidP="00A576C6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Стратегия</w:t>
            </w:r>
            <w:proofErr w:type="spellEnd"/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компании</w:t>
            </w:r>
            <w:proofErr w:type="spellEnd"/>
          </w:p>
        </w:tc>
        <w:tc>
          <w:tcPr>
            <w:tcW w:w="2613" w:type="dxa"/>
          </w:tcPr>
          <w:p w14:paraId="1406410E" w14:textId="77777777" w:rsidR="00C173CF" w:rsidRPr="00226743" w:rsidRDefault="00C173CF" w:rsidP="00A576C6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Управление</w:t>
            </w:r>
            <w:proofErr w:type="spellEnd"/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климатическими</w:t>
            </w:r>
            <w:proofErr w:type="spellEnd"/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рисками</w:t>
            </w:r>
            <w:proofErr w:type="spellEnd"/>
          </w:p>
        </w:tc>
        <w:tc>
          <w:tcPr>
            <w:tcW w:w="2556" w:type="dxa"/>
          </w:tcPr>
          <w:p w14:paraId="4EFA637E" w14:textId="77777777" w:rsidR="00C173CF" w:rsidRPr="00226743" w:rsidRDefault="00C173CF" w:rsidP="00A576C6">
            <w:pPr>
              <w:jc w:val="left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Показатели</w:t>
            </w:r>
            <w:proofErr w:type="spellEnd"/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и </w:t>
            </w:r>
            <w:proofErr w:type="spellStart"/>
            <w:r w:rsidRPr="00226743">
              <w:rPr>
                <w:rFonts w:ascii="Arial" w:hAnsi="Arial" w:cs="Arial"/>
                <w:b/>
                <w:sz w:val="28"/>
                <w:szCs w:val="28"/>
              </w:rPr>
              <w:t>цел</w:t>
            </w:r>
            <w:proofErr w:type="spellEnd"/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>и</w:t>
            </w:r>
          </w:p>
        </w:tc>
      </w:tr>
      <w:tr w:rsidR="00C173CF" w:rsidRPr="00226743" w14:paraId="3A146AFD" w14:textId="77777777" w:rsidTr="00970727">
        <w:tc>
          <w:tcPr>
            <w:tcW w:w="9265" w:type="dxa"/>
            <w:gridSpan w:val="4"/>
          </w:tcPr>
          <w:p w14:paraId="66893DCA" w14:textId="77777777" w:rsidR="00C173CF" w:rsidRPr="00226743" w:rsidRDefault="00C173CF" w:rsidP="00A576C6">
            <w:pPr>
              <w:jc w:val="left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>Группа НЛМК (металлургическая компания) [</w: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fldChar w:fldCharType="begin"/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instrText xml:space="preserve"> REF _Ref174377782 \r \h  \* MERGEFORMAT </w:instrTex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fldChar w:fldCharType="separate"/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>4</w: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fldChar w:fldCharType="end"/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>]</w:t>
            </w:r>
          </w:p>
        </w:tc>
      </w:tr>
      <w:tr w:rsidR="00C173CF" w:rsidRPr="00226743" w14:paraId="718F4EBE" w14:textId="77777777" w:rsidTr="00970727">
        <w:tc>
          <w:tcPr>
            <w:tcW w:w="1682" w:type="dxa"/>
          </w:tcPr>
          <w:p w14:paraId="3C59485F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Вопросы, связанные с изменением климата, находятся в зоне постоянного внимания руководства компании и интегрированы в систему корпоративного управления.</w:t>
            </w:r>
          </w:p>
          <w:p w14:paraId="483A43E5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Повестка заседаний Совета директоров включает такие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вопросы, как стратегия декарбонизации, климатические проекты, климатические риски, методология и бенчмаркинг, прогресс в достижении целей. Цели по минимизации воздействия на климат определяются Комитетом Совета директоров по стратегическому планированию. Цели в области минимизации воздействия на климат распределяются от Президента (Председателя Правления) до функциональных и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дивизиональных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руководителей Группы, а также глав производственных подразделений предприятий компании. Оценка достижения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поставленных целей производится ежегодно.</w:t>
            </w:r>
          </w:p>
          <w:p w14:paraId="7E4B8ACB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Руководство Группы НЛМК уделяет особое внимание</w:t>
            </w:r>
          </w:p>
          <w:p w14:paraId="33188F73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климатическому аспекту при рассмотрении вопросов, связанных со стратегией компании, с управлением рисками, формированием годового бюджета и бизнес-планов, а также при определении целей деятельности компании, контроле за реализацией и эффективностью крупных инвестиций</w:t>
            </w:r>
          </w:p>
        </w:tc>
        <w:tc>
          <w:tcPr>
            <w:tcW w:w="2414" w:type="dxa"/>
          </w:tcPr>
          <w:p w14:paraId="5043F270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В 2021 г. Группа НЛМК утвердила Климатическую программу, которая подразумевает поэтапный переход на электродуговой способ производства стали с использованием в качестве сырья ПВЖ/ГБЖ (железорудное сырье с высоким содержанием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железа, получаемое без применения угля и кокса).</w:t>
            </w:r>
          </w:p>
          <w:p w14:paraId="59B88D59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Даже при текущей структуре энергопотребления (с использованием природного газа) эта технология позволяет снизить эмиссию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в два раза по сравнению с доменно-конвертерным способом производства. В перспективе – с появлением достаточных объемов зеленого водорода, а также промышленной технологии восстановления при помощи этого газа –потенциал декарбонизации данной технологии превысит 90 % (от текущих уровней). В связи с ограниченным доступом к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технологиям производства ГБЖ сроки реализации данной программы будут определены позднее. В 2023 г. компания продолжила исследовательские работы в сферах технологии улавливания, использования и хранения углерода, применения биотоплива, генерации электричества на основе ВИЭ.</w:t>
            </w:r>
          </w:p>
          <w:p w14:paraId="1813874C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 2023 г. проявился эффект ранее реализованных проектов по повышению содержания железа в концентрате на Стойленском ГОК со снижением эмиссии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до 800 тыс. т в год. На снижение удельной эмиссии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в том числе продолжают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работать другие инвестиционные проекты и операционные мероприятия, реализованные в текущем стратегическом цикле</w:t>
            </w:r>
          </w:p>
        </w:tc>
        <w:tc>
          <w:tcPr>
            <w:tcW w:w="2613" w:type="dxa"/>
          </w:tcPr>
          <w:p w14:paraId="403A1AAB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Возможные риск-факторы.</w:t>
            </w:r>
          </w:p>
          <w:p w14:paraId="101DE478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Физические риски:</w:t>
            </w:r>
          </w:p>
          <w:p w14:paraId="65D29AF8" w14:textId="77777777" w:rsidR="00C173CF" w:rsidRPr="00226743" w:rsidRDefault="00C173CF" w:rsidP="00A576C6">
            <w:pPr>
              <w:pStyle w:val="a7"/>
              <w:numPr>
                <w:ilvl w:val="0"/>
                <w:numId w:val="3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экстремальные риски (разрушительные события);</w:t>
            </w:r>
          </w:p>
          <w:p w14:paraId="5B9011F4" w14:textId="77777777" w:rsidR="00C173CF" w:rsidRPr="00226743" w:rsidRDefault="00C173CF" w:rsidP="00A576C6">
            <w:pPr>
              <w:pStyle w:val="a7"/>
              <w:numPr>
                <w:ilvl w:val="0"/>
                <w:numId w:val="3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хронические риски (долговременные изменения климата).</w:t>
            </w:r>
          </w:p>
          <w:p w14:paraId="410DB321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Риски перехода к низкоуглеродной экономике:</w:t>
            </w:r>
          </w:p>
          <w:p w14:paraId="459DCBA2" w14:textId="77777777" w:rsidR="00C173CF" w:rsidRPr="00226743" w:rsidRDefault="00C173CF" w:rsidP="00A576C6">
            <w:pPr>
              <w:pStyle w:val="a7"/>
              <w:numPr>
                <w:ilvl w:val="0"/>
                <w:numId w:val="34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политические риски;</w:t>
            </w:r>
          </w:p>
          <w:p w14:paraId="5199ED1A" w14:textId="77777777" w:rsidR="00C173CF" w:rsidRPr="00226743" w:rsidRDefault="00C173CF" w:rsidP="00A576C6">
            <w:pPr>
              <w:pStyle w:val="a7"/>
              <w:numPr>
                <w:ilvl w:val="0"/>
                <w:numId w:val="34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экономические риски;</w:t>
            </w:r>
          </w:p>
          <w:p w14:paraId="1929E3D3" w14:textId="77777777" w:rsidR="00C173CF" w:rsidRPr="00226743" w:rsidRDefault="00C173CF" w:rsidP="00A576C6">
            <w:pPr>
              <w:pStyle w:val="a7"/>
              <w:numPr>
                <w:ilvl w:val="0"/>
                <w:numId w:val="34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репутационные риски;</w:t>
            </w:r>
          </w:p>
          <w:p w14:paraId="7715E646" w14:textId="77777777" w:rsidR="00C173CF" w:rsidRPr="00226743" w:rsidRDefault="00C173CF" w:rsidP="00A576C6">
            <w:pPr>
              <w:pStyle w:val="a7"/>
              <w:numPr>
                <w:ilvl w:val="0"/>
                <w:numId w:val="34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технологические риски.</w:t>
            </w:r>
          </w:p>
          <w:p w14:paraId="1E2FF65B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Реализуемые мероприятия по управлению</w:t>
            </w:r>
          </w:p>
          <w:p w14:paraId="310ABC54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Рисками:</w:t>
            </w:r>
          </w:p>
          <w:p w14:paraId="03E7AFFF" w14:textId="77777777" w:rsidR="00C173CF" w:rsidRPr="00226743" w:rsidRDefault="00C173CF" w:rsidP="00A576C6">
            <w:pPr>
              <w:pStyle w:val="a7"/>
              <w:numPr>
                <w:ilvl w:val="0"/>
                <w:numId w:val="33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инжиниринг и проектирование новых объектов и оборудования с учетом климатических особенностей;</w:t>
            </w:r>
          </w:p>
          <w:p w14:paraId="6A577611" w14:textId="77777777" w:rsidR="00C173CF" w:rsidRPr="00226743" w:rsidRDefault="00C173CF" w:rsidP="00A576C6">
            <w:pPr>
              <w:pStyle w:val="a7"/>
              <w:numPr>
                <w:ilvl w:val="0"/>
                <w:numId w:val="32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мероприятия по адаптации к учащению экстремальной жары и осадков;</w:t>
            </w:r>
          </w:p>
          <w:p w14:paraId="38595F5D" w14:textId="77777777" w:rsidR="00C173CF" w:rsidRPr="00226743" w:rsidRDefault="00C173CF" w:rsidP="00A576C6">
            <w:pPr>
              <w:pStyle w:val="a7"/>
              <w:numPr>
                <w:ilvl w:val="0"/>
                <w:numId w:val="32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создание системы мониторинга происшествий, вызванных погодно-климатическим воздействием;</w:t>
            </w:r>
          </w:p>
          <w:p w14:paraId="57AC4FEB" w14:textId="77777777" w:rsidR="00C173CF" w:rsidRPr="00226743" w:rsidRDefault="00C173CF" w:rsidP="00A576C6">
            <w:pPr>
              <w:pStyle w:val="a7"/>
              <w:numPr>
                <w:ilvl w:val="0"/>
                <w:numId w:val="32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реализация Климатической программы, инвестиционных и операционных проектов по снижению эмиссии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;</w:t>
            </w:r>
          </w:p>
          <w:p w14:paraId="0882E21C" w14:textId="77777777" w:rsidR="00C173CF" w:rsidRPr="00226743" w:rsidRDefault="00C173CF" w:rsidP="00A576C6">
            <w:pPr>
              <w:pStyle w:val="a7"/>
              <w:numPr>
                <w:ilvl w:val="0"/>
                <w:numId w:val="32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улучшение качества и расширение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ассортимента стальной продукции;</w:t>
            </w:r>
          </w:p>
          <w:p w14:paraId="202909B1" w14:textId="77777777" w:rsidR="00C173CF" w:rsidRPr="00226743" w:rsidRDefault="00C173CF" w:rsidP="00A576C6">
            <w:pPr>
              <w:pStyle w:val="a7"/>
              <w:numPr>
                <w:ilvl w:val="0"/>
                <w:numId w:val="32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взаимодействие с органами власти через участие в ассоциациях, рабочих группах, комментарии и корректировки к законопроектам по низкоуглеродному развитию.</w:t>
            </w:r>
          </w:p>
          <w:p w14:paraId="616583A5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Управление климатическими рисками является неотъемлемой частью системы управления рисками Группы НЛМК. Идентификация и оценка климатических рисков производятся качественными и количественными методами, включающими в себя сценарный анализ и моделирование материальности риска (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Materiality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), вероятности (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Probability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) и скорости его наступления (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Velocity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).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Агрегированная информация о профиле и изменениях в части климатических рисков учитывается в «Риск-радаре» Группы НЛМК </w:t>
            </w:r>
          </w:p>
        </w:tc>
        <w:tc>
          <w:tcPr>
            <w:tcW w:w="2556" w:type="dxa"/>
          </w:tcPr>
          <w:p w14:paraId="0E784190" w14:textId="77777777" w:rsidR="00C173CF" w:rsidRPr="00226743" w:rsidRDefault="00C173CF" w:rsidP="00A576C6">
            <w:pPr>
              <w:pStyle w:val="a7"/>
              <w:numPr>
                <w:ilvl w:val="0"/>
                <w:numId w:val="1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Прямая и косвенная энергетические эмиссии парниковых газов Группы НЛМК, тыс.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-эквивалента.</w:t>
            </w:r>
          </w:p>
          <w:p w14:paraId="3677E504" w14:textId="77777777" w:rsidR="00C173CF" w:rsidRPr="00226743" w:rsidRDefault="00C173CF" w:rsidP="00A576C6">
            <w:pPr>
              <w:pStyle w:val="a7"/>
              <w:numPr>
                <w:ilvl w:val="0"/>
                <w:numId w:val="1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Динамика эмиссии парниковых газов (охват 1 и охват 2, региональный и рыночный метод) Группы НЛМК, млн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эквивалента.</w:t>
            </w:r>
          </w:p>
          <w:p w14:paraId="30998AAB" w14:textId="77777777" w:rsidR="00C173CF" w:rsidRPr="00226743" w:rsidRDefault="00C173CF" w:rsidP="00A576C6">
            <w:pPr>
              <w:pStyle w:val="a7"/>
              <w:numPr>
                <w:ilvl w:val="0"/>
                <w:numId w:val="1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Структура суммарной прямой и косвенной энергетических эмиссий парниковых газов (охват 1 + охват 2, рыночный метод) Группы НЛМК по странам присутствия за 2023 г., тыс.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-эквивалента.</w:t>
            </w:r>
          </w:p>
          <w:p w14:paraId="0D698F27" w14:textId="77777777" w:rsidR="00C173CF" w:rsidRPr="00226743" w:rsidRDefault="00C173CF" w:rsidP="00A576C6">
            <w:pPr>
              <w:pStyle w:val="a7"/>
              <w:numPr>
                <w:ilvl w:val="0"/>
                <w:numId w:val="1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Динамика эмиссии парниковых газов вверх по цепочке поставок (охват 3) Группы НЛМК, млн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-эквивалента.</w:t>
            </w:r>
          </w:p>
          <w:p w14:paraId="25A57428" w14:textId="77777777" w:rsidR="00C173CF" w:rsidRPr="00226743" w:rsidRDefault="00C173CF" w:rsidP="00A576C6">
            <w:pPr>
              <w:pStyle w:val="a7"/>
              <w:numPr>
                <w:ilvl w:val="0"/>
                <w:numId w:val="1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Структура прочей косвенной эмиссии парниковых газов вверх по цепочке поставок (охват 3) Группы НЛМК в разбивке по основным категориям за 2023 г., %.</w:t>
            </w:r>
          </w:p>
          <w:p w14:paraId="5765E3B8" w14:textId="77777777" w:rsidR="00C173CF" w:rsidRPr="00226743" w:rsidRDefault="00C173CF" w:rsidP="00A576C6">
            <w:pPr>
              <w:pStyle w:val="a7"/>
              <w:numPr>
                <w:ilvl w:val="0"/>
                <w:numId w:val="1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Удельная эмиссия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для стационарных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источников Группы НЛМК,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на 1 т стали.</w:t>
            </w:r>
          </w:p>
          <w:p w14:paraId="7ADDE4BA" w14:textId="77777777" w:rsidR="00C173CF" w:rsidRPr="00226743" w:rsidRDefault="00C173CF" w:rsidP="00A576C6">
            <w:pPr>
              <w:pStyle w:val="a7"/>
              <w:numPr>
                <w:ilvl w:val="0"/>
                <w:numId w:val="1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Динамика удельной эмиссии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(охват 1 + охват 2, региональный и рыночный методы) от стационарных источников,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на 1 т стали.</w:t>
            </w:r>
          </w:p>
          <w:p w14:paraId="2D9CC070" w14:textId="77777777" w:rsidR="00C173CF" w:rsidRPr="00226743" w:rsidRDefault="00C173CF" w:rsidP="00A576C6">
            <w:pPr>
              <w:pStyle w:val="a7"/>
              <w:numPr>
                <w:ilvl w:val="0"/>
                <w:numId w:val="1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Динамика удельной эмиссии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(охваты 1 + 2) Группы с учетом площадок НЛМК Сорт,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на 1 т стали</w:t>
            </w:r>
          </w:p>
        </w:tc>
      </w:tr>
      <w:tr w:rsidR="00C173CF" w:rsidRPr="00226743" w14:paraId="484260E2" w14:textId="77777777" w:rsidTr="00970727">
        <w:tc>
          <w:tcPr>
            <w:tcW w:w="9265" w:type="dxa"/>
            <w:gridSpan w:val="4"/>
          </w:tcPr>
          <w:p w14:paraId="21CCC8DC" w14:textId="77777777" w:rsidR="00C173CF" w:rsidRPr="00226743" w:rsidRDefault="00C173CF" w:rsidP="00A576C6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lastRenderedPageBreak/>
              <w:t>ПАО «Полюс»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>(золотодобывающая компания)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[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 xml:space="preserve"> REF _Ref174377796 \r \h  \* MERGEFORMAT 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>]</w:t>
            </w:r>
          </w:p>
        </w:tc>
      </w:tr>
      <w:tr w:rsidR="00C173CF" w:rsidRPr="00226743" w14:paraId="5068E917" w14:textId="77777777" w:rsidTr="00970727">
        <w:tc>
          <w:tcPr>
            <w:tcW w:w="1682" w:type="dxa"/>
          </w:tcPr>
          <w:p w14:paraId="358BAA73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Компания раскрывает полномочия совета директоров в рамках устойчивого развития и предоставляет информацию в виде блок-схемы, наглядно демонстрирующей распределение ролей.</w:t>
            </w:r>
          </w:p>
          <w:p w14:paraId="4A16CA47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Ответственность за контроль над управлением климатическими рисками, выбросами парниковых газов и энергопотреблением лежит на старшем вице-президенте по операционной деятельности.  В 2023 г. в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«Полюсе» была создана профильная рабочая группа по адаптации УК и УО к требованиям, установленным углеродным законодательством</w:t>
            </w:r>
          </w:p>
        </w:tc>
        <w:tc>
          <w:tcPr>
            <w:tcW w:w="2414" w:type="dxa"/>
          </w:tcPr>
          <w:p w14:paraId="675AF117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Стратегические климатические цели и задачи компании закреплены в Климатической стратегии:</w:t>
            </w:r>
          </w:p>
          <w:p w14:paraId="26DFDD64" w14:textId="77777777" w:rsidR="00C173CF" w:rsidRPr="00226743" w:rsidRDefault="00C173CF" w:rsidP="00A576C6">
            <w:pPr>
              <w:pStyle w:val="a7"/>
              <w:numPr>
                <w:ilvl w:val="0"/>
                <w:numId w:val="3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Снижение удельных выбросов областей охватов 1 и 2,</w:t>
            </w:r>
          </w:p>
          <w:p w14:paraId="753D1D97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повышение энергоэффективности.</w:t>
            </w:r>
          </w:p>
          <w:p w14:paraId="44A52902" w14:textId="77777777" w:rsidR="00C173CF" w:rsidRPr="00226743" w:rsidRDefault="00C173CF" w:rsidP="00A576C6">
            <w:pPr>
              <w:pStyle w:val="a7"/>
              <w:numPr>
                <w:ilvl w:val="0"/>
                <w:numId w:val="3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Повышение устойчивости к последствиям изменения климата: использование методов качественной и количественной оценки физических рисков и рисков переходного периода.</w:t>
            </w:r>
          </w:p>
          <w:p w14:paraId="0F231503" w14:textId="77777777" w:rsidR="00C173CF" w:rsidRPr="00226743" w:rsidRDefault="00C173CF" w:rsidP="00A576C6">
            <w:pPr>
              <w:pStyle w:val="a7"/>
              <w:numPr>
                <w:ilvl w:val="0"/>
                <w:numId w:val="3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Использова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ние возможностей, связанных с изменением климата, для повышения операционной эффективности.</w:t>
            </w:r>
          </w:p>
          <w:p w14:paraId="4FE9BB0D" w14:textId="77777777" w:rsidR="00C173CF" w:rsidRPr="00226743" w:rsidRDefault="00C173CF" w:rsidP="00A576C6">
            <w:pPr>
              <w:pStyle w:val="a7"/>
              <w:numPr>
                <w:ilvl w:val="0"/>
                <w:numId w:val="3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Стремление к открытости: повышение качества и увеличение объема раскрытия информации, связанной с проблематикой изменения климата.</w:t>
            </w:r>
          </w:p>
          <w:p w14:paraId="54B9CCF2" w14:textId="77777777" w:rsidR="00C173CF" w:rsidRPr="00226743" w:rsidRDefault="00C173CF" w:rsidP="00A576C6">
            <w:pPr>
              <w:pStyle w:val="a7"/>
              <w:numPr>
                <w:ilvl w:val="0"/>
                <w:numId w:val="3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Сотрудничество в области противодействия изменению климата: содействие межотраслевому сотрудничеству и международной коммуникации для активизации глобальной деятельности в области климатических изменений.</w:t>
            </w:r>
          </w:p>
          <w:p w14:paraId="76F836FA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Климатическая стратегия «Полюса» устанавливает среднесрочную цель –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сокращение удельных прямых и косвенных энергетических выбросов парниковых газов к 2032 г. г. до 40–50 % от объема 2020 г. и достижение Net Zero – нулевых выбросов – к 2050 г.</w:t>
            </w:r>
          </w:p>
        </w:tc>
        <w:tc>
          <w:tcPr>
            <w:tcW w:w="2613" w:type="dxa"/>
          </w:tcPr>
          <w:p w14:paraId="2B621792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При оценке рисков «Полюс» использует следующие сценарии:</w:t>
            </w:r>
          </w:p>
          <w:p w14:paraId="6D2F1487" w14:textId="77777777" w:rsidR="00C173CF" w:rsidRPr="00226743" w:rsidRDefault="00C173CF" w:rsidP="00A576C6">
            <w:pPr>
              <w:pStyle w:val="a7"/>
              <w:numPr>
                <w:ilvl w:val="0"/>
                <w:numId w:val="3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Sustainability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(SSP1 – 2,6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o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C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) – сценарий в рамках Парижского соглашения, предполагающий сдерживание темпов роста среднегодовой температуры воздуха</w:t>
            </w:r>
          </w:p>
          <w:p w14:paraId="42336CBD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 мире в пределах +1,8 °C к 2100 г.</w:t>
            </w:r>
          </w:p>
          <w:p w14:paraId="49DF6580" w14:textId="77777777" w:rsidR="00C173CF" w:rsidRPr="00226743" w:rsidRDefault="00C173CF" w:rsidP="00A576C6">
            <w:pPr>
              <w:pStyle w:val="a7"/>
              <w:numPr>
                <w:ilvl w:val="0"/>
                <w:numId w:val="3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</w:rPr>
              <w:t>Middle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226743">
              <w:rPr>
                <w:rFonts w:ascii="Arial" w:hAnsi="Arial" w:cs="Arial"/>
                <w:sz w:val="28"/>
                <w:szCs w:val="28"/>
              </w:rPr>
              <w:t>of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226743">
              <w:rPr>
                <w:rFonts w:ascii="Arial" w:hAnsi="Arial" w:cs="Arial"/>
                <w:sz w:val="28"/>
                <w:szCs w:val="28"/>
              </w:rPr>
              <w:t>the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226743">
              <w:rPr>
                <w:rFonts w:ascii="Arial" w:hAnsi="Arial" w:cs="Arial"/>
                <w:sz w:val="28"/>
                <w:szCs w:val="28"/>
              </w:rPr>
              <w:t>Road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(</w:t>
            </w:r>
            <w:r w:rsidRPr="00226743">
              <w:rPr>
                <w:rFonts w:ascii="Arial" w:hAnsi="Arial" w:cs="Arial"/>
                <w:sz w:val="28"/>
                <w:szCs w:val="28"/>
              </w:rPr>
              <w:t>SSP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2 – 4,5 °</w:t>
            </w:r>
            <w:r w:rsidRPr="00226743">
              <w:rPr>
                <w:rFonts w:ascii="Arial" w:hAnsi="Arial" w:cs="Arial"/>
                <w:sz w:val="28"/>
                <w:szCs w:val="28"/>
              </w:rPr>
              <w:t>C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) – срединный сценарий, рост температур +2,8 °C к 2100 г.</w:t>
            </w:r>
          </w:p>
          <w:p w14:paraId="1A45CD59" w14:textId="77777777" w:rsidR="00C173CF" w:rsidRPr="00226743" w:rsidRDefault="00C173CF" w:rsidP="00A576C6">
            <w:pPr>
              <w:pStyle w:val="a7"/>
              <w:numPr>
                <w:ilvl w:val="0"/>
                <w:numId w:val="35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</w:rPr>
              <w:t>Taking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226743">
              <w:rPr>
                <w:rFonts w:ascii="Arial" w:hAnsi="Arial" w:cs="Arial"/>
                <w:sz w:val="28"/>
                <w:szCs w:val="28"/>
              </w:rPr>
              <w:t>the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226743">
              <w:rPr>
                <w:rFonts w:ascii="Arial" w:hAnsi="Arial" w:cs="Arial"/>
                <w:sz w:val="28"/>
                <w:szCs w:val="28"/>
              </w:rPr>
              <w:t>Highway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(</w:t>
            </w:r>
            <w:r w:rsidRPr="00226743">
              <w:rPr>
                <w:rFonts w:ascii="Arial" w:hAnsi="Arial" w:cs="Arial"/>
                <w:sz w:val="28"/>
                <w:szCs w:val="28"/>
              </w:rPr>
              <w:t>SSP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5 – 8,5 °</w:t>
            </w:r>
            <w:r w:rsidRPr="00226743">
              <w:rPr>
                <w:rFonts w:ascii="Arial" w:hAnsi="Arial" w:cs="Arial"/>
                <w:sz w:val="28"/>
                <w:szCs w:val="28"/>
              </w:rPr>
              <w:t>C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) –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сценарий наибольшего воздействия физических рисков, рост температур +4,4 °C к 2100 г.</w:t>
            </w:r>
          </w:p>
          <w:p w14:paraId="02E38DC0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Мероприятия по минимизации климатических рисков и достижению климатических целей</w:t>
            </w:r>
          </w:p>
          <w:p w14:paraId="6EC1BDFD" w14:textId="77777777" w:rsidR="00C173CF" w:rsidRPr="00226743" w:rsidRDefault="00C173CF" w:rsidP="00A576C6">
            <w:pPr>
              <w:pStyle w:val="a7"/>
              <w:numPr>
                <w:ilvl w:val="0"/>
                <w:numId w:val="3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тиехнические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мероприятия;</w:t>
            </w:r>
          </w:p>
          <w:p w14:paraId="19A27871" w14:textId="77777777" w:rsidR="00C173CF" w:rsidRPr="00226743" w:rsidRDefault="00C173CF" w:rsidP="00A576C6">
            <w:pPr>
              <w:pStyle w:val="a7"/>
              <w:numPr>
                <w:ilvl w:val="0"/>
                <w:numId w:val="3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компенсационные мероприятия;</w:t>
            </w:r>
          </w:p>
          <w:p w14:paraId="08F35641" w14:textId="77777777" w:rsidR="00C173CF" w:rsidRPr="00226743" w:rsidRDefault="00C173CF" w:rsidP="00A576C6">
            <w:pPr>
              <w:pStyle w:val="a7"/>
              <w:numPr>
                <w:ilvl w:val="0"/>
                <w:numId w:val="3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климатические проекты;</w:t>
            </w:r>
          </w:p>
          <w:p w14:paraId="7A40AEDC" w14:textId="77777777" w:rsidR="00C173CF" w:rsidRPr="00226743" w:rsidRDefault="00C173CF" w:rsidP="00A576C6">
            <w:pPr>
              <w:pStyle w:val="a7"/>
              <w:numPr>
                <w:ilvl w:val="0"/>
                <w:numId w:val="3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мероприятия по сокращению косвенных энергетических выбросов;</w:t>
            </w:r>
          </w:p>
          <w:p w14:paraId="1E81376B" w14:textId="77777777" w:rsidR="00C173CF" w:rsidRPr="00226743" w:rsidRDefault="00C173CF" w:rsidP="00A576C6">
            <w:pPr>
              <w:pStyle w:val="a7"/>
              <w:numPr>
                <w:ilvl w:val="0"/>
                <w:numId w:val="3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участие в законотворческих процессах;</w:t>
            </w:r>
          </w:p>
          <w:p w14:paraId="5E37C355" w14:textId="77777777" w:rsidR="00C173CF" w:rsidRPr="00226743" w:rsidRDefault="00C173CF" w:rsidP="00A576C6">
            <w:pPr>
              <w:pStyle w:val="a7"/>
              <w:numPr>
                <w:ilvl w:val="0"/>
                <w:numId w:val="36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проведение количественной оценки выбросов парниковых газов на регулярной основе</w:t>
            </w:r>
          </w:p>
        </w:tc>
        <w:tc>
          <w:tcPr>
            <w:tcW w:w="2556" w:type="dxa"/>
          </w:tcPr>
          <w:p w14:paraId="1C4D8E50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В рамках показателей компания в 2023 г. раскрыла следующие критерии:</w:t>
            </w:r>
          </w:p>
          <w:p w14:paraId="66596542" w14:textId="77777777" w:rsidR="00C173CF" w:rsidRPr="00226743" w:rsidRDefault="00C173CF" w:rsidP="00A576C6">
            <w:pPr>
              <w:pStyle w:val="a7"/>
              <w:numPr>
                <w:ilvl w:val="0"/>
                <w:numId w:val="37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Общие прямые и косвенные энергетические выбросы парниковых газов в абсолютном и удельном выражении (по Группе в целом), млн т CO</w:t>
            </w:r>
            <w:r w:rsidRPr="00226743">
              <w:rPr>
                <w:rFonts w:ascii="Cambria Math" w:hAnsi="Cambria Math" w:cs="Cambria Math"/>
                <w:sz w:val="28"/>
                <w:szCs w:val="28"/>
                <w:lang w:val="ru-RU"/>
              </w:rPr>
              <w:t>₂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-экв. </w:t>
            </w:r>
          </w:p>
          <w:p w14:paraId="0E8E78C9" w14:textId="77777777" w:rsidR="00C173CF" w:rsidRPr="00226743" w:rsidRDefault="00C173CF" w:rsidP="00A576C6">
            <w:pPr>
              <w:pStyle w:val="a7"/>
              <w:numPr>
                <w:ilvl w:val="0"/>
                <w:numId w:val="37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Выбросы парниковых газов в разбивке по производственным объектам (области охвата 1 и 2), тыс. т CO2-экв.</w:t>
            </w:r>
          </w:p>
          <w:p w14:paraId="0ABC6867" w14:textId="77777777" w:rsidR="00C173CF" w:rsidRPr="00226743" w:rsidRDefault="00C173CF" w:rsidP="00A576C6">
            <w:pPr>
              <w:pStyle w:val="a7"/>
              <w:numPr>
                <w:ilvl w:val="0"/>
                <w:numId w:val="37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Прямые выбросы парниковых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газов в разбивке по источникам, тыс. т CO</w:t>
            </w:r>
            <w:r w:rsidRPr="00226743">
              <w:rPr>
                <w:rFonts w:ascii="Cambria Math" w:hAnsi="Cambria Math" w:cs="Cambria Math"/>
                <w:sz w:val="28"/>
                <w:szCs w:val="28"/>
                <w:lang w:val="ru-RU"/>
              </w:rPr>
              <w:t>₂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cr/>
            </w:r>
          </w:p>
          <w:p w14:paraId="78FDDF6D" w14:textId="77777777" w:rsidR="00C173CF" w:rsidRPr="00226743" w:rsidRDefault="00C173CF" w:rsidP="00A576C6">
            <w:pPr>
              <w:pStyle w:val="a7"/>
              <w:numPr>
                <w:ilvl w:val="0"/>
                <w:numId w:val="37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Косвенные энергетические выбросы парниковых газов в разбивке по источникам, тыс. т CO</w:t>
            </w:r>
            <w:r w:rsidRPr="00226743">
              <w:rPr>
                <w:rFonts w:ascii="Cambria Math" w:hAnsi="Cambria Math" w:cs="Cambria Math"/>
                <w:sz w:val="28"/>
                <w:szCs w:val="28"/>
                <w:lang w:val="ru-RU"/>
              </w:rPr>
              <w:t>₂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</w:t>
            </w:r>
          </w:p>
          <w:p w14:paraId="3E7158A7" w14:textId="77777777" w:rsidR="00C173CF" w:rsidRPr="00226743" w:rsidRDefault="00C173CF" w:rsidP="00A576C6">
            <w:pPr>
              <w:pStyle w:val="a7"/>
              <w:numPr>
                <w:ilvl w:val="0"/>
                <w:numId w:val="37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Выбросы парниковых газов (области охвата 1 и 2) в разбивке по газам, тыс. т CO</w:t>
            </w:r>
            <w:r w:rsidRPr="00226743">
              <w:rPr>
                <w:rFonts w:ascii="Cambria Math" w:hAnsi="Cambria Math" w:cs="Cambria Math"/>
                <w:sz w:val="28"/>
                <w:szCs w:val="28"/>
                <w:lang w:val="ru-RU"/>
              </w:rPr>
              <w:t>₂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</w:t>
            </w:r>
          </w:p>
          <w:p w14:paraId="1D62C27B" w14:textId="77777777" w:rsidR="00C173CF" w:rsidRPr="00226743" w:rsidRDefault="00C173CF" w:rsidP="00A576C6">
            <w:pPr>
              <w:pStyle w:val="a7"/>
              <w:numPr>
                <w:ilvl w:val="0"/>
                <w:numId w:val="37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Прямые выбросы парниковых газов в соответствии с МПР 371, тыс. т СО</w:t>
            </w:r>
            <w:r w:rsidRPr="00226743">
              <w:rPr>
                <w:rFonts w:ascii="Cambria Math" w:hAnsi="Cambria Math" w:cs="Cambria Math"/>
                <w:sz w:val="28"/>
                <w:szCs w:val="28"/>
                <w:lang w:val="ru-RU"/>
              </w:rPr>
              <w:t>₂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</w:t>
            </w:r>
          </w:p>
          <w:p w14:paraId="70CBAAEB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Основной целью Компании является достижение </w:t>
            </w:r>
            <w:r w:rsidRPr="00226743">
              <w:rPr>
                <w:rFonts w:ascii="Arial" w:hAnsi="Arial" w:cs="Arial"/>
                <w:sz w:val="28"/>
                <w:szCs w:val="28"/>
              </w:rPr>
              <w:t>Net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226743">
              <w:rPr>
                <w:rFonts w:ascii="Arial" w:hAnsi="Arial" w:cs="Arial"/>
                <w:sz w:val="28"/>
                <w:szCs w:val="28"/>
              </w:rPr>
              <w:t>Zero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к 2050 г.</w:t>
            </w:r>
          </w:p>
        </w:tc>
      </w:tr>
      <w:tr w:rsidR="00C173CF" w:rsidRPr="00226743" w14:paraId="47AEE837" w14:textId="77777777" w:rsidTr="00970727">
        <w:tc>
          <w:tcPr>
            <w:tcW w:w="9265" w:type="dxa"/>
            <w:gridSpan w:val="4"/>
          </w:tcPr>
          <w:p w14:paraId="63C2EA99" w14:textId="77777777" w:rsidR="00C173CF" w:rsidRPr="00226743" w:rsidRDefault="00C173CF" w:rsidP="00A576C6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lastRenderedPageBreak/>
              <w:t xml:space="preserve">ПАО «Татнефть» (нефтяная компания) 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>[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 xml:space="preserve"> REF _Ref173356382 \r \h  \* MERGEFORMAT 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>]</w:t>
            </w:r>
          </w:p>
        </w:tc>
      </w:tr>
      <w:tr w:rsidR="00C173CF" w:rsidRPr="00226743" w14:paraId="3F163C3B" w14:textId="77777777" w:rsidTr="00970727">
        <w:tc>
          <w:tcPr>
            <w:tcW w:w="1682" w:type="dxa"/>
          </w:tcPr>
          <w:p w14:paraId="1C0F70C1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Компания не раскрывает информацию об ответственности Совета директоров в рамках климата, приводя только формулировку:</w:t>
            </w:r>
          </w:p>
          <w:p w14:paraId="17656FBC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«При утверждении стратегии Совет директоров учитывает принципы устойчивого развития, включая достижение целей в области климатической, экологической и промышленной безопасности, социальной политики и управления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кадровыми ресурсами»</w:t>
            </w:r>
          </w:p>
          <w:p w14:paraId="297C4E0C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2414" w:type="dxa"/>
          </w:tcPr>
          <w:p w14:paraId="20CAF887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Компания подтверждает амбиции по достижению углеродной нейтральности к 2050 г. и прорабатывает возможности ее достижения в части контролируемых выбросов парниковых газов – по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Scope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1 и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Scope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2. Промежуточные целевые показатели предполагают снижение углеродной интенсивности на 14 % к 2025 г. и 30 % к 2030 г. по сравнению с базовым 2021 г.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В Компании сформирован портфель климатических проектов, позволяющих достичь промежуточных целей по снижению выбросов парниковых газов</w:t>
            </w:r>
          </w:p>
        </w:tc>
        <w:tc>
          <w:tcPr>
            <w:tcW w:w="2613" w:type="dxa"/>
          </w:tcPr>
          <w:p w14:paraId="25AD288A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В рамках рисков компания выделяет следующую группу:</w:t>
            </w:r>
          </w:p>
          <w:p w14:paraId="7EF8F345" w14:textId="77777777" w:rsidR="00C173CF" w:rsidRPr="00226743" w:rsidRDefault="00C173CF" w:rsidP="00A576C6">
            <w:pPr>
              <w:pStyle w:val="a7"/>
              <w:numPr>
                <w:ilvl w:val="0"/>
                <w:numId w:val="3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рыночные риски;</w:t>
            </w:r>
          </w:p>
          <w:p w14:paraId="2F99A6A9" w14:textId="77777777" w:rsidR="00C173CF" w:rsidRPr="00226743" w:rsidRDefault="00C173CF" w:rsidP="00A576C6">
            <w:pPr>
              <w:pStyle w:val="a7"/>
              <w:numPr>
                <w:ilvl w:val="0"/>
                <w:numId w:val="3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регуляторные риски;</w:t>
            </w:r>
          </w:p>
          <w:p w14:paraId="349B8054" w14:textId="77777777" w:rsidR="00C173CF" w:rsidRPr="00226743" w:rsidRDefault="00C173CF" w:rsidP="00A576C6">
            <w:pPr>
              <w:pStyle w:val="a7"/>
              <w:numPr>
                <w:ilvl w:val="0"/>
                <w:numId w:val="3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репутационные риски;</w:t>
            </w:r>
          </w:p>
          <w:p w14:paraId="4C96F5AD" w14:textId="77777777" w:rsidR="00C173CF" w:rsidRPr="00226743" w:rsidRDefault="00C173CF" w:rsidP="00A576C6">
            <w:pPr>
              <w:pStyle w:val="a7"/>
              <w:numPr>
                <w:ilvl w:val="0"/>
                <w:numId w:val="3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технологические риски;</w:t>
            </w:r>
          </w:p>
          <w:p w14:paraId="565BBB8C" w14:textId="77777777" w:rsidR="00C173CF" w:rsidRPr="00226743" w:rsidRDefault="00C173CF" w:rsidP="00A576C6">
            <w:pPr>
              <w:pStyle w:val="a7"/>
              <w:numPr>
                <w:ilvl w:val="0"/>
                <w:numId w:val="3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физические риски (экстренные и хронические).</w:t>
            </w:r>
          </w:p>
          <w:p w14:paraId="1836D190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В рамках раскрытия рисков компания приводит информацию об их влиянии на бизнес-процессы компании, а также уровень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влияния (высокий, средневысокий, средний, низкий) и меры по управлению.</w:t>
            </w:r>
          </w:p>
          <w:p w14:paraId="0A1243C7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 2022 г. компанией разработан реестр климатических рисков, который, в соответствии с классификацией TCFD включает риски, связанные с постепенным переходом к низкоуглеродной экономике, а также физические риски. Реестр климатических рисков и возможностей, мероприятия по работе с климатическими рисками и отчет по работе с рисками рассматриваются и утверждаются Советом директоров компании.</w:t>
            </w:r>
          </w:p>
          <w:p w14:paraId="79BEE130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Оценка климатических рисков и возможностей проводится не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реже одного раза в год. При выявлении внутренних или внешних факторов, имеющих потенциал влияния на реестр климатических рисков и возможностей, проводится внеочередная оценка климатических рисков и возможностей.</w:t>
            </w:r>
          </w:p>
          <w:p w14:paraId="2AD1DB9C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Риски разделены по горизонту планирования (кратко, средне- и долгосрочные) и проранжированы на основании экспертной консенсус-оценки вероятности и последствий их реализации</w:t>
            </w:r>
          </w:p>
        </w:tc>
        <w:tc>
          <w:tcPr>
            <w:tcW w:w="2556" w:type="dxa"/>
          </w:tcPr>
          <w:p w14:paraId="4FE2BC2C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В рамках показателей компания раскрывает:</w:t>
            </w:r>
          </w:p>
          <w:p w14:paraId="4859CF48" w14:textId="77777777" w:rsidR="00C173CF" w:rsidRPr="00226743" w:rsidRDefault="00C173CF" w:rsidP="00A576C6">
            <w:pPr>
              <w:pStyle w:val="a7"/>
              <w:numPr>
                <w:ilvl w:val="0"/>
                <w:numId w:val="39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Выбросы парниковых газов (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Scope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1,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Scope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2), млн т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 по отраслям.</w:t>
            </w:r>
          </w:p>
          <w:p w14:paraId="3871DB31" w14:textId="77777777" w:rsidR="00C173CF" w:rsidRPr="00226743" w:rsidRDefault="00C173CF" w:rsidP="00A576C6">
            <w:pPr>
              <w:pStyle w:val="a7"/>
              <w:numPr>
                <w:ilvl w:val="0"/>
                <w:numId w:val="39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Прямые выбросы парниковых газов по бизнес-направлению «Разведка и добыча» по источникам.</w:t>
            </w:r>
          </w:p>
          <w:p w14:paraId="02F2BF12" w14:textId="77777777" w:rsidR="00C173CF" w:rsidRPr="00226743" w:rsidRDefault="00C173CF" w:rsidP="00A576C6">
            <w:pPr>
              <w:pStyle w:val="a7"/>
              <w:numPr>
                <w:ilvl w:val="0"/>
                <w:numId w:val="39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Выбросы парниковых газов (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Scope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1, пеллеты), т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</w:t>
            </w:r>
          </w:p>
          <w:p w14:paraId="3598C7F7" w14:textId="77777777" w:rsidR="00C173CF" w:rsidRPr="00226743" w:rsidRDefault="00C173CF" w:rsidP="00A576C6">
            <w:pPr>
              <w:pStyle w:val="a7"/>
              <w:numPr>
                <w:ilvl w:val="0"/>
                <w:numId w:val="39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Выбросы парниковых газов (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Scope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 3),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млн т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</w:t>
            </w:r>
          </w:p>
          <w:p w14:paraId="413C31F0" w14:textId="77777777" w:rsidR="00C173CF" w:rsidRPr="00226743" w:rsidRDefault="00C173CF" w:rsidP="00A576C6">
            <w:pPr>
              <w:pStyle w:val="a7"/>
              <w:numPr>
                <w:ilvl w:val="0"/>
                <w:numId w:val="39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Интенсивность выбросов парниковых газов.</w:t>
            </w:r>
          </w:p>
          <w:p w14:paraId="3D54A18C" w14:textId="77777777" w:rsidR="00C173CF" w:rsidRPr="00226743" w:rsidRDefault="00C173CF" w:rsidP="00A576C6">
            <w:pPr>
              <w:pStyle w:val="a7"/>
              <w:numPr>
                <w:ilvl w:val="0"/>
                <w:numId w:val="39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Потенциальные выбросы углекислого газа по доказанным запасам углеводородов.</w:t>
            </w:r>
          </w:p>
          <w:p w14:paraId="72C65E22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Для достижения показателей ЦУР 13 в компании сформирован портфель проектов, направленных на снижение углеродного следа, включающий проекты по повышению энергоэффективности, росту утилизации попутного нефтяного газа, сокращению эмиссий метана</w:t>
            </w:r>
          </w:p>
        </w:tc>
      </w:tr>
      <w:tr w:rsidR="00C173CF" w:rsidRPr="00226743" w14:paraId="61E5ADC1" w14:textId="77777777" w:rsidTr="00970727">
        <w:tc>
          <w:tcPr>
            <w:tcW w:w="9265" w:type="dxa"/>
            <w:gridSpan w:val="4"/>
          </w:tcPr>
          <w:p w14:paraId="53118344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lastRenderedPageBreak/>
              <w:t>ПАО «ФОСАГРО» (производство удобрений)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 xml:space="preserve"> [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 xml:space="preserve"> REF _Ref174377826 \r \h  \* MERGEFORMAT 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t>]</w:t>
            </w:r>
          </w:p>
        </w:tc>
      </w:tr>
      <w:tr w:rsidR="00C173CF" w:rsidRPr="00226743" w14:paraId="413BF5E3" w14:textId="77777777" w:rsidTr="00970727">
        <w:tc>
          <w:tcPr>
            <w:tcW w:w="6709" w:type="dxa"/>
            <w:gridSpan w:val="3"/>
          </w:tcPr>
          <w:p w14:paraId="4347AE17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 рамках годового отчета за 2023 г. компания не раскрывает столь подробно функционал Совета Директоров в части климата, стратегию и риски, давая ссылку на отчет TCFD 2020 г.</w:t>
            </w:r>
          </w:p>
        </w:tc>
        <w:tc>
          <w:tcPr>
            <w:tcW w:w="2556" w:type="dxa"/>
          </w:tcPr>
          <w:p w14:paraId="2FEE6E31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 рамках показателей раскрывается следующая информация:</w:t>
            </w:r>
          </w:p>
          <w:p w14:paraId="69060C5D" w14:textId="77777777" w:rsidR="00C173CF" w:rsidRPr="00226743" w:rsidRDefault="00C173CF" w:rsidP="00A576C6">
            <w:pPr>
              <w:pStyle w:val="a7"/>
              <w:numPr>
                <w:ilvl w:val="0"/>
                <w:numId w:val="2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Валовые выбросы охватов 1, 2 в целом по ФосАгро,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метрич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.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</w:t>
            </w:r>
          </w:p>
          <w:p w14:paraId="28153F54" w14:textId="77777777" w:rsidR="00C173CF" w:rsidRPr="00226743" w:rsidRDefault="00C173CF" w:rsidP="00A576C6">
            <w:pPr>
              <w:pStyle w:val="a7"/>
              <w:numPr>
                <w:ilvl w:val="0"/>
                <w:numId w:val="2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Эмиссия парниковых газов, область охвата 3,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</w:t>
            </w:r>
          </w:p>
          <w:p w14:paraId="522B3070" w14:textId="77777777" w:rsidR="00C173CF" w:rsidRPr="00226743" w:rsidRDefault="00C173CF" w:rsidP="00A576C6">
            <w:pPr>
              <w:pStyle w:val="a7"/>
              <w:numPr>
                <w:ilvl w:val="0"/>
                <w:numId w:val="2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Удельные выбросы парниковых газов в целом по ФосАгро.</w:t>
            </w:r>
          </w:p>
          <w:p w14:paraId="5DEE17FF" w14:textId="77777777" w:rsidR="00C173CF" w:rsidRPr="00226743" w:rsidRDefault="00C173CF" w:rsidP="00A576C6">
            <w:pPr>
              <w:pStyle w:val="a7"/>
              <w:numPr>
                <w:ilvl w:val="0"/>
                <w:numId w:val="2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Эмиссия парниковых газов, область охвата 1 (прямые),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 по предприятиям.</w:t>
            </w:r>
          </w:p>
          <w:p w14:paraId="121B6D47" w14:textId="77777777" w:rsidR="00C173CF" w:rsidRPr="00226743" w:rsidRDefault="00C173CF" w:rsidP="00A576C6">
            <w:pPr>
              <w:pStyle w:val="a7"/>
              <w:numPr>
                <w:ilvl w:val="0"/>
                <w:numId w:val="28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Эмиссия парниковых газов, область охвата 2 (косвенные), СО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 по предприятиям</w:t>
            </w:r>
          </w:p>
        </w:tc>
      </w:tr>
      <w:tr w:rsidR="00C173CF" w:rsidRPr="00226743" w14:paraId="396329DA" w14:textId="77777777" w:rsidTr="00970727">
        <w:tc>
          <w:tcPr>
            <w:tcW w:w="9265" w:type="dxa"/>
            <w:gridSpan w:val="4"/>
          </w:tcPr>
          <w:p w14:paraId="3454EF0A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lastRenderedPageBreak/>
              <w:t>ООО «ЕВРАЗ» (металлургическая и горнодобывающая компания) [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instrText xml:space="preserve"> 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>REF</w:instrTex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instrText xml:space="preserve"> _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>Ref</w:instrTex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instrText>174377837 \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>r</w:instrTex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instrText xml:space="preserve"> \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>h</w:instrText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instrText xml:space="preserve"> 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instrText xml:space="preserve"> \* MERGEFORMAT </w:instrTex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>9</w:t>
            </w:r>
            <w:r w:rsidRPr="00226743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226743">
              <w:rPr>
                <w:rFonts w:ascii="Arial" w:hAnsi="Arial" w:cs="Arial"/>
                <w:b/>
                <w:sz w:val="28"/>
                <w:szCs w:val="28"/>
                <w:lang w:val="ru-RU"/>
              </w:rPr>
              <w:t>]</w:t>
            </w:r>
          </w:p>
        </w:tc>
      </w:tr>
      <w:tr w:rsidR="00C173CF" w:rsidRPr="00226743" w14:paraId="3FE41ED9" w14:textId="77777777" w:rsidTr="00970727">
        <w:tc>
          <w:tcPr>
            <w:tcW w:w="1682" w:type="dxa"/>
          </w:tcPr>
          <w:p w14:paraId="2C495428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Компания раскрывает информацию о распределении обязанностей и ответственности за вопросы изменения климата и энергоэффективности</w:t>
            </w:r>
          </w:p>
        </w:tc>
        <w:tc>
          <w:tcPr>
            <w:tcW w:w="2414" w:type="dxa"/>
          </w:tcPr>
          <w:p w14:paraId="142E52B5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Компания продолжает разрабатывать Климатическую стратегию. В 2023 г. в ходе ее разработки специалисты ЕВРАЗ продолжили анализировать применимые для компании технологии по декарбонизации и возможность их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использования как при модернизации оборудования, так и при освоении новых технологических процессов.</w:t>
            </w:r>
          </w:p>
          <w:p w14:paraId="5027AADE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Поскольку Климатическая стратегия находится в разработке, ЕВРАЗ руководствуется положениями Плана по декарбонизации, которые компания учитывает при постановке климатических целей в дивизионах</w:t>
            </w:r>
          </w:p>
        </w:tc>
        <w:tc>
          <w:tcPr>
            <w:tcW w:w="2613" w:type="dxa"/>
          </w:tcPr>
          <w:p w14:paraId="1CD2DA92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В 2023 г. компания раскрывает информацию о рисках более емко, как и ПАО «Татнефть», приводя, кроме описания рисков, также и оценку, последствия наступления, методы управления риском.</w:t>
            </w:r>
          </w:p>
          <w:p w14:paraId="6017D74C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Выделены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следующие физические риски:</w:t>
            </w:r>
          </w:p>
          <w:p w14:paraId="0DAB6AA9" w14:textId="77777777" w:rsidR="00C173CF" w:rsidRPr="00226743" w:rsidRDefault="00C173CF" w:rsidP="00A576C6">
            <w:pPr>
              <w:pStyle w:val="a7"/>
              <w:numPr>
                <w:ilvl w:val="0"/>
                <w:numId w:val="4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Увеличение частоты возникновения штормовых </w:t>
            </w:r>
            <w:proofErr w:type="gramStart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ветров  (</w:t>
            </w:r>
            <w:proofErr w:type="gram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ураганы и тайфуны).</w:t>
            </w:r>
          </w:p>
          <w:p w14:paraId="04278607" w14:textId="77777777" w:rsidR="00C173CF" w:rsidRPr="00226743" w:rsidRDefault="00C173CF" w:rsidP="00A576C6">
            <w:pPr>
              <w:pStyle w:val="a7"/>
              <w:numPr>
                <w:ilvl w:val="0"/>
                <w:numId w:val="4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Изменение</w:t>
            </w:r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средней скорости ветра</w:t>
            </w:r>
            <w:r w:rsidRPr="0022674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B4D6998" w14:textId="77777777" w:rsidR="00C173CF" w:rsidRPr="00226743" w:rsidRDefault="00C173CF" w:rsidP="00A576C6">
            <w:pPr>
              <w:pStyle w:val="a7"/>
              <w:numPr>
                <w:ilvl w:val="0"/>
                <w:numId w:val="4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Увеличение числа случаев переходов температуры через нулевую отметку.</w:t>
            </w:r>
          </w:p>
          <w:p w14:paraId="63D8EF1E" w14:textId="77777777" w:rsidR="00C173CF" w:rsidRPr="00226743" w:rsidRDefault="00C173CF" w:rsidP="00A576C6">
            <w:pPr>
              <w:pStyle w:val="a7"/>
              <w:numPr>
                <w:ilvl w:val="0"/>
                <w:numId w:val="4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Увеличение количества случаев наступления экстремально низких температур.</w:t>
            </w:r>
          </w:p>
          <w:p w14:paraId="145A3854" w14:textId="77777777" w:rsidR="00C173CF" w:rsidRPr="00226743" w:rsidRDefault="00C173CF" w:rsidP="00A576C6">
            <w:pPr>
              <w:pStyle w:val="a7"/>
              <w:numPr>
                <w:ilvl w:val="0"/>
                <w:numId w:val="4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Увеличение средних температур в зимний период.</w:t>
            </w:r>
          </w:p>
          <w:p w14:paraId="642FAD9A" w14:textId="77777777" w:rsidR="00C173CF" w:rsidRPr="00226743" w:rsidRDefault="00C173CF" w:rsidP="00A576C6">
            <w:pPr>
              <w:pStyle w:val="a7"/>
              <w:numPr>
                <w:ilvl w:val="0"/>
                <w:numId w:val="4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Рост средних температур в летний период.</w:t>
            </w:r>
          </w:p>
          <w:p w14:paraId="1423EAE7" w14:textId="77777777" w:rsidR="00C173CF" w:rsidRPr="00226743" w:rsidRDefault="00C173CF" w:rsidP="00A576C6">
            <w:pPr>
              <w:pStyle w:val="a7"/>
              <w:numPr>
                <w:ilvl w:val="0"/>
                <w:numId w:val="4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Рост экстремально</w:t>
            </w:r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высоки</w:t>
            </w:r>
            <w:r w:rsidRPr="00226743">
              <w:rPr>
                <w:rFonts w:ascii="Arial" w:hAnsi="Arial" w:cs="Arial"/>
                <w:sz w:val="28"/>
                <w:szCs w:val="28"/>
              </w:rPr>
              <w:t xml:space="preserve">х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температур</w:t>
            </w:r>
            <w:r w:rsidRPr="0022674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0F7605B" w14:textId="77777777" w:rsidR="00C173CF" w:rsidRPr="00226743" w:rsidRDefault="00C173CF" w:rsidP="00A576C6">
            <w:pPr>
              <w:pStyle w:val="a7"/>
              <w:numPr>
                <w:ilvl w:val="0"/>
                <w:numId w:val="4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Дефицит</w:t>
            </w:r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водных</w:t>
            </w:r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ресурсов</w:t>
            </w:r>
            <w:r w:rsidRPr="0022674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D3864FD" w14:textId="77777777" w:rsidR="00C173CF" w:rsidRPr="00226743" w:rsidRDefault="00C173CF" w:rsidP="00A576C6">
            <w:pPr>
              <w:pStyle w:val="a7"/>
              <w:numPr>
                <w:ilvl w:val="0"/>
                <w:numId w:val="4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Повышение</w:t>
            </w:r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уровня</w:t>
            </w:r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мирового</w:t>
            </w:r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океана</w:t>
            </w:r>
            <w:r w:rsidRPr="0022674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7872743" w14:textId="77777777" w:rsidR="00C173CF" w:rsidRPr="00226743" w:rsidRDefault="00C173CF" w:rsidP="00A576C6">
            <w:pPr>
              <w:pStyle w:val="a7"/>
              <w:numPr>
                <w:ilvl w:val="0"/>
                <w:numId w:val="4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Пожары</w:t>
            </w:r>
            <w:r w:rsidRPr="0022674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6F9F7CE" w14:textId="77777777" w:rsidR="00C173CF" w:rsidRPr="00226743" w:rsidRDefault="00C173CF" w:rsidP="00A576C6">
            <w:pPr>
              <w:pStyle w:val="a7"/>
              <w:numPr>
                <w:ilvl w:val="0"/>
                <w:numId w:val="4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Обильные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зимние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осадки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EA451BC" w14:textId="77777777" w:rsidR="00C173CF" w:rsidRPr="00226743" w:rsidRDefault="00C173CF" w:rsidP="00A576C6">
            <w:pPr>
              <w:pStyle w:val="a7"/>
              <w:numPr>
                <w:ilvl w:val="0"/>
                <w:numId w:val="4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Обильные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дожди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0E0601B" w14:textId="77777777" w:rsidR="00C173CF" w:rsidRPr="00226743" w:rsidRDefault="00C173CF" w:rsidP="00A576C6">
            <w:pPr>
              <w:pStyle w:val="a7"/>
              <w:numPr>
                <w:ilvl w:val="0"/>
                <w:numId w:val="4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Наводнения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AD3B83B" w14:textId="77777777" w:rsidR="00C173CF" w:rsidRPr="00226743" w:rsidRDefault="00C173CF" w:rsidP="00A576C6">
            <w:pPr>
              <w:pStyle w:val="a7"/>
              <w:numPr>
                <w:ilvl w:val="0"/>
                <w:numId w:val="4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Грозы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74FBA21" w14:textId="77777777" w:rsidR="00C173CF" w:rsidRPr="00226743" w:rsidRDefault="00C173CF" w:rsidP="00A576C6">
            <w:pPr>
              <w:pStyle w:val="a7"/>
              <w:numPr>
                <w:ilvl w:val="0"/>
                <w:numId w:val="40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Ледяной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дождь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8A43FDB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Среди переходных климатических рисков компания выделяет:</w:t>
            </w:r>
          </w:p>
          <w:p w14:paraId="1032936C" w14:textId="77777777" w:rsidR="00C173CF" w:rsidRPr="00226743" w:rsidRDefault="00C173CF" w:rsidP="00A576C6">
            <w:pPr>
              <w:pStyle w:val="a7"/>
              <w:numPr>
                <w:ilvl w:val="0"/>
                <w:numId w:val="41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егуляторный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;</w:t>
            </w:r>
          </w:p>
          <w:p w14:paraId="7F4E480F" w14:textId="77777777" w:rsidR="00C173CF" w:rsidRPr="00226743" w:rsidRDefault="00C173CF" w:rsidP="00A576C6">
            <w:pPr>
              <w:pStyle w:val="a7"/>
              <w:numPr>
                <w:ilvl w:val="0"/>
                <w:numId w:val="41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р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епутационный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;</w:t>
            </w:r>
          </w:p>
          <w:p w14:paraId="792F5FA2" w14:textId="77777777" w:rsidR="00C173CF" w:rsidRPr="00226743" w:rsidRDefault="00C173CF" w:rsidP="00A576C6">
            <w:pPr>
              <w:pStyle w:val="a7"/>
              <w:numPr>
                <w:ilvl w:val="0"/>
                <w:numId w:val="41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т</w:t>
            </w: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ехнологический</w:t>
            </w:r>
            <w:proofErr w:type="spellEnd"/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;</w:t>
            </w:r>
          </w:p>
          <w:p w14:paraId="2974B12E" w14:textId="77777777" w:rsidR="00C173CF" w:rsidRPr="00226743" w:rsidRDefault="00C173CF" w:rsidP="00A576C6">
            <w:pPr>
              <w:pStyle w:val="a7"/>
              <w:numPr>
                <w:ilvl w:val="0"/>
                <w:numId w:val="41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226743">
              <w:rPr>
                <w:rFonts w:ascii="Arial" w:hAnsi="Arial" w:cs="Arial"/>
                <w:sz w:val="28"/>
                <w:szCs w:val="28"/>
              </w:rPr>
              <w:t>Рыночный</w:t>
            </w:r>
            <w:proofErr w:type="spellEnd"/>
          </w:p>
          <w:p w14:paraId="7CBDF7C4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2556" w:type="dxa"/>
          </w:tcPr>
          <w:p w14:paraId="1ED7140A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Компания поставила перед собой долгосрочную цель по сокращению удельных выбросов парниковых газов при выплавке стали на 50 % к 2060 г. по сравнению с уровнем 2022 г.  Для ее достижения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ЕВРАЗ анализирует возможность применения в производстве различных современных технологий, направленных на сокращение выбросов и повышение энергоэффективности. Достижению поставленной цели также способствует обязательная оценка ЕВРАЗ влияния инвестиционных проектов на выбросы парниковых газов. Это связано с тем, что реализация некоторых проектов, в частности по повышению производительности, может способствовать увеличению выбросов парниковых газов. Чтобы избежать этого, специалисты компании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анализируют возможность применения энергоэффективных технологий при реализации подобных проектов.</w:t>
            </w:r>
          </w:p>
          <w:p w14:paraId="3C288499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 2024 г. г. компания планирует интегрировать расчет выбросов парниковых газов в финансовые модели предприятий, в том числе и для инвестиционных проектов.</w:t>
            </w:r>
          </w:p>
          <w:p w14:paraId="7973A790" w14:textId="77777777" w:rsidR="00C173CF" w:rsidRPr="00226743" w:rsidRDefault="00C173CF" w:rsidP="00A576C6">
            <w:pPr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 рамках показателей компания раскрывает следующие критерии:</w:t>
            </w:r>
          </w:p>
          <w:p w14:paraId="64F0322D" w14:textId="77777777" w:rsidR="00C173CF" w:rsidRPr="00226743" w:rsidRDefault="00C173CF" w:rsidP="00A576C6">
            <w:pPr>
              <w:pStyle w:val="a7"/>
              <w:numPr>
                <w:ilvl w:val="0"/>
                <w:numId w:val="31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Валовые прямые и косвенные энергетические выбросы парниковых газов (области охвата 1 и 2), млн т CO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</w:t>
            </w:r>
          </w:p>
          <w:p w14:paraId="6DC1D3B8" w14:textId="77777777" w:rsidR="00C173CF" w:rsidRPr="00226743" w:rsidRDefault="00C173CF" w:rsidP="00A576C6">
            <w:pPr>
              <w:pStyle w:val="a7"/>
              <w:numPr>
                <w:ilvl w:val="0"/>
                <w:numId w:val="31"/>
              </w:numPr>
              <w:ind w:left="0" w:firstLine="0"/>
              <w:contextualSpacing w:val="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 xml:space="preserve">Выбросы парниковых газов области охвата 2, рассчитанные с использованием 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рыночного и регионального методов, млн т СO</w:t>
            </w:r>
            <w:r w:rsidRPr="00226743">
              <w:rPr>
                <w:rFonts w:ascii="Arial" w:hAnsi="Arial" w:cs="Arial"/>
                <w:sz w:val="28"/>
                <w:szCs w:val="28"/>
                <w:vertAlign w:val="subscript"/>
                <w:lang w:val="ru-RU"/>
              </w:rPr>
              <w:t>2</w:t>
            </w:r>
            <w:r w:rsidRPr="00226743">
              <w:rPr>
                <w:rFonts w:ascii="Arial" w:hAnsi="Arial" w:cs="Arial"/>
                <w:sz w:val="28"/>
                <w:szCs w:val="28"/>
                <w:lang w:val="ru-RU"/>
              </w:rPr>
              <w:t>-экв.</w:t>
            </w:r>
          </w:p>
        </w:tc>
      </w:tr>
    </w:tbl>
    <w:p w14:paraId="2A791408" w14:textId="77777777" w:rsidR="009B02E9" w:rsidRDefault="009B02E9" w:rsidP="00A576C6"/>
    <w:sectPr w:rsidR="009B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F7A941"/>
    <w:multiLevelType w:val="singleLevel"/>
    <w:tmpl w:val="89F7A94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E9A0204"/>
    <w:multiLevelType w:val="singleLevel"/>
    <w:tmpl w:val="9E9A020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97E300C"/>
    <w:multiLevelType w:val="singleLevel"/>
    <w:tmpl w:val="D97E300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53E1F5E"/>
    <w:multiLevelType w:val="singleLevel"/>
    <w:tmpl w:val="E53E1F5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2D12DBA"/>
    <w:multiLevelType w:val="hybridMultilevel"/>
    <w:tmpl w:val="E72C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C7FC5"/>
    <w:multiLevelType w:val="hybridMultilevel"/>
    <w:tmpl w:val="CD0CCBA4"/>
    <w:lvl w:ilvl="0" w:tplc="C38ECD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7C65DE"/>
    <w:multiLevelType w:val="hybridMultilevel"/>
    <w:tmpl w:val="769A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1B964"/>
    <w:multiLevelType w:val="singleLevel"/>
    <w:tmpl w:val="0F41B96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11CF7609"/>
    <w:multiLevelType w:val="hybridMultilevel"/>
    <w:tmpl w:val="A178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165BC"/>
    <w:multiLevelType w:val="hybridMultilevel"/>
    <w:tmpl w:val="3A28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A4BB7"/>
    <w:multiLevelType w:val="hybridMultilevel"/>
    <w:tmpl w:val="D5AE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10226"/>
    <w:multiLevelType w:val="hybridMultilevel"/>
    <w:tmpl w:val="6EA42470"/>
    <w:lvl w:ilvl="0" w:tplc="041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307488"/>
    <w:multiLevelType w:val="hybridMultilevel"/>
    <w:tmpl w:val="4C8CF378"/>
    <w:lvl w:ilvl="0" w:tplc="C38EC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38ECD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E34F7"/>
    <w:multiLevelType w:val="hybridMultilevel"/>
    <w:tmpl w:val="49303B90"/>
    <w:lvl w:ilvl="0" w:tplc="C38EC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B1EB2"/>
    <w:multiLevelType w:val="hybridMultilevel"/>
    <w:tmpl w:val="731A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211DC"/>
    <w:multiLevelType w:val="hybridMultilevel"/>
    <w:tmpl w:val="D2F69DE6"/>
    <w:lvl w:ilvl="0" w:tplc="C38ECD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5C1530"/>
    <w:multiLevelType w:val="hybridMultilevel"/>
    <w:tmpl w:val="2BDCE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23AA9"/>
    <w:multiLevelType w:val="hybridMultilevel"/>
    <w:tmpl w:val="C39CC8DE"/>
    <w:lvl w:ilvl="0" w:tplc="FE0CB06C">
      <w:numFmt w:val="bullet"/>
      <w:lvlText w:val="•"/>
      <w:lvlJc w:val="left"/>
      <w:pPr>
        <w:ind w:left="1440" w:hanging="72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1A3EFA"/>
    <w:multiLevelType w:val="hybridMultilevel"/>
    <w:tmpl w:val="AC0028EE"/>
    <w:lvl w:ilvl="0" w:tplc="C38EC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127A3"/>
    <w:multiLevelType w:val="hybridMultilevel"/>
    <w:tmpl w:val="AA82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F6403"/>
    <w:multiLevelType w:val="hybridMultilevel"/>
    <w:tmpl w:val="3080E766"/>
    <w:lvl w:ilvl="0" w:tplc="C38ECD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352F72"/>
    <w:multiLevelType w:val="hybridMultilevel"/>
    <w:tmpl w:val="ED322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E7634"/>
    <w:multiLevelType w:val="hybridMultilevel"/>
    <w:tmpl w:val="60AA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64DBB"/>
    <w:multiLevelType w:val="hybridMultilevel"/>
    <w:tmpl w:val="97622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F1BE6"/>
    <w:multiLevelType w:val="hybridMultilevel"/>
    <w:tmpl w:val="D574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A120A"/>
    <w:multiLevelType w:val="hybridMultilevel"/>
    <w:tmpl w:val="D34E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9436E"/>
    <w:multiLevelType w:val="multilevel"/>
    <w:tmpl w:val="4BB94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53176"/>
    <w:multiLevelType w:val="hybridMultilevel"/>
    <w:tmpl w:val="8B30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106F7"/>
    <w:multiLevelType w:val="hybridMultilevel"/>
    <w:tmpl w:val="CBBE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E5205"/>
    <w:multiLevelType w:val="hybridMultilevel"/>
    <w:tmpl w:val="B65C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610AB"/>
    <w:multiLevelType w:val="hybridMultilevel"/>
    <w:tmpl w:val="4A8A1A20"/>
    <w:lvl w:ilvl="0" w:tplc="C38ECD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591713"/>
    <w:multiLevelType w:val="hybridMultilevel"/>
    <w:tmpl w:val="F8BC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D0FC8"/>
    <w:multiLevelType w:val="hybridMultilevel"/>
    <w:tmpl w:val="203635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080F72"/>
    <w:multiLevelType w:val="hybridMultilevel"/>
    <w:tmpl w:val="2474FC5E"/>
    <w:lvl w:ilvl="0" w:tplc="C38EC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C2116"/>
    <w:multiLevelType w:val="hybridMultilevel"/>
    <w:tmpl w:val="5E4C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11808"/>
    <w:multiLevelType w:val="hybridMultilevel"/>
    <w:tmpl w:val="88F6B23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6" w15:restartNumberingAfterBreak="0">
    <w:nsid w:val="602F0A16"/>
    <w:multiLevelType w:val="singleLevel"/>
    <w:tmpl w:val="602F0A1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7" w15:restartNumberingAfterBreak="0">
    <w:nsid w:val="613273FB"/>
    <w:multiLevelType w:val="hybridMultilevel"/>
    <w:tmpl w:val="A7EA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73F71"/>
    <w:multiLevelType w:val="hybridMultilevel"/>
    <w:tmpl w:val="0F1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B5CB4"/>
    <w:multiLevelType w:val="hybridMultilevel"/>
    <w:tmpl w:val="75E8D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86A99"/>
    <w:multiLevelType w:val="hybridMultilevel"/>
    <w:tmpl w:val="2FAE8D76"/>
    <w:lvl w:ilvl="0" w:tplc="6116E0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 w15:restartNumberingAfterBreak="0">
    <w:nsid w:val="6FFF6AFA"/>
    <w:multiLevelType w:val="hybridMultilevel"/>
    <w:tmpl w:val="6C4C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049A9"/>
    <w:multiLevelType w:val="hybridMultilevel"/>
    <w:tmpl w:val="4B2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5084F"/>
    <w:multiLevelType w:val="hybridMultilevel"/>
    <w:tmpl w:val="C624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94D"/>
    <w:multiLevelType w:val="hybridMultilevel"/>
    <w:tmpl w:val="470862E0"/>
    <w:lvl w:ilvl="0" w:tplc="1B665E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426EF"/>
    <w:multiLevelType w:val="hybridMultilevel"/>
    <w:tmpl w:val="D3BC7A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C32A80"/>
    <w:multiLevelType w:val="hybridMultilevel"/>
    <w:tmpl w:val="5F025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C2DC7"/>
    <w:multiLevelType w:val="hybridMultilevel"/>
    <w:tmpl w:val="ED766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59310864">
    <w:abstractNumId w:val="0"/>
  </w:num>
  <w:num w:numId="2" w16cid:durableId="193882697">
    <w:abstractNumId w:val="36"/>
  </w:num>
  <w:num w:numId="3" w16cid:durableId="336810961">
    <w:abstractNumId w:val="7"/>
  </w:num>
  <w:num w:numId="4" w16cid:durableId="1143230528">
    <w:abstractNumId w:val="1"/>
  </w:num>
  <w:num w:numId="5" w16cid:durableId="1757049450">
    <w:abstractNumId w:val="3"/>
  </w:num>
  <w:num w:numId="6" w16cid:durableId="500118743">
    <w:abstractNumId w:val="2"/>
  </w:num>
  <w:num w:numId="7" w16cid:durableId="1384673132">
    <w:abstractNumId w:val="26"/>
  </w:num>
  <w:num w:numId="8" w16cid:durableId="1415396596">
    <w:abstractNumId w:val="40"/>
  </w:num>
  <w:num w:numId="9" w16cid:durableId="1545484242">
    <w:abstractNumId w:val="45"/>
  </w:num>
  <w:num w:numId="10" w16cid:durableId="955792497">
    <w:abstractNumId w:val="47"/>
  </w:num>
  <w:num w:numId="11" w16cid:durableId="227886612">
    <w:abstractNumId w:val="42"/>
  </w:num>
  <w:num w:numId="12" w16cid:durableId="1466314942">
    <w:abstractNumId w:val="34"/>
  </w:num>
  <w:num w:numId="13" w16cid:durableId="677468151">
    <w:abstractNumId w:val="12"/>
  </w:num>
  <w:num w:numId="14" w16cid:durableId="1611552451">
    <w:abstractNumId w:val="23"/>
  </w:num>
  <w:num w:numId="15" w16cid:durableId="2055152902">
    <w:abstractNumId w:val="30"/>
  </w:num>
  <w:num w:numId="16" w16cid:durableId="1573850927">
    <w:abstractNumId w:val="22"/>
  </w:num>
  <w:num w:numId="17" w16cid:durableId="129979477">
    <w:abstractNumId w:val="43"/>
  </w:num>
  <w:num w:numId="18" w16cid:durableId="502204740">
    <w:abstractNumId w:val="9"/>
  </w:num>
  <w:num w:numId="19" w16cid:durableId="1063676936">
    <w:abstractNumId w:val="19"/>
  </w:num>
  <w:num w:numId="20" w16cid:durableId="1792017277">
    <w:abstractNumId w:val="38"/>
  </w:num>
  <w:num w:numId="21" w16cid:durableId="1046946748">
    <w:abstractNumId w:val="5"/>
  </w:num>
  <w:num w:numId="22" w16cid:durableId="1211575929">
    <w:abstractNumId w:val="28"/>
  </w:num>
  <w:num w:numId="23" w16cid:durableId="1729038954">
    <w:abstractNumId w:val="20"/>
  </w:num>
  <w:num w:numId="24" w16cid:durableId="1341128724">
    <w:abstractNumId w:val="29"/>
  </w:num>
  <w:num w:numId="25" w16cid:durableId="1037663068">
    <w:abstractNumId w:val="6"/>
  </w:num>
  <w:num w:numId="26" w16cid:durableId="1647706880">
    <w:abstractNumId w:val="8"/>
  </w:num>
  <w:num w:numId="27" w16cid:durableId="1625649398">
    <w:abstractNumId w:val="46"/>
  </w:num>
  <w:num w:numId="28" w16cid:durableId="433675817">
    <w:abstractNumId w:val="24"/>
  </w:num>
  <w:num w:numId="29" w16cid:durableId="1799371713">
    <w:abstractNumId w:val="15"/>
  </w:num>
  <w:num w:numId="30" w16cid:durableId="1392464355">
    <w:abstractNumId w:val="13"/>
  </w:num>
  <w:num w:numId="31" w16cid:durableId="134762063">
    <w:abstractNumId w:val="33"/>
  </w:num>
  <w:num w:numId="32" w16cid:durableId="63575513">
    <w:abstractNumId w:val="21"/>
  </w:num>
  <w:num w:numId="33" w16cid:durableId="1840729985">
    <w:abstractNumId w:val="37"/>
  </w:num>
  <w:num w:numId="34" w16cid:durableId="1642686286">
    <w:abstractNumId w:val="18"/>
  </w:num>
  <w:num w:numId="35" w16cid:durableId="339284976">
    <w:abstractNumId w:val="31"/>
  </w:num>
  <w:num w:numId="36" w16cid:durableId="1473134664">
    <w:abstractNumId w:val="35"/>
  </w:num>
  <w:num w:numId="37" w16cid:durableId="1812549892">
    <w:abstractNumId w:val="14"/>
  </w:num>
  <w:num w:numId="38" w16cid:durableId="432939072">
    <w:abstractNumId w:val="10"/>
  </w:num>
  <w:num w:numId="39" w16cid:durableId="1233584296">
    <w:abstractNumId w:val="27"/>
  </w:num>
  <w:num w:numId="40" w16cid:durableId="461267908">
    <w:abstractNumId w:val="4"/>
  </w:num>
  <w:num w:numId="41" w16cid:durableId="1996689100">
    <w:abstractNumId w:val="41"/>
  </w:num>
  <w:num w:numId="42" w16cid:durableId="1615752065">
    <w:abstractNumId w:val="25"/>
  </w:num>
  <w:num w:numId="43" w16cid:durableId="1450663364">
    <w:abstractNumId w:val="39"/>
  </w:num>
  <w:num w:numId="44" w16cid:durableId="452360750">
    <w:abstractNumId w:val="44"/>
  </w:num>
  <w:num w:numId="45" w16cid:durableId="434521669">
    <w:abstractNumId w:val="16"/>
  </w:num>
  <w:num w:numId="46" w16cid:durableId="533806713">
    <w:abstractNumId w:val="32"/>
  </w:num>
  <w:num w:numId="47" w16cid:durableId="894319766">
    <w:abstractNumId w:val="17"/>
  </w:num>
  <w:num w:numId="48" w16cid:durableId="5331582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CF"/>
    <w:rsid w:val="00221A3C"/>
    <w:rsid w:val="00341B2E"/>
    <w:rsid w:val="00532E36"/>
    <w:rsid w:val="006C269D"/>
    <w:rsid w:val="009B02E9"/>
    <w:rsid w:val="00A576C6"/>
    <w:rsid w:val="00B15C3A"/>
    <w:rsid w:val="00C173CF"/>
    <w:rsid w:val="00CF6CB7"/>
    <w:rsid w:val="00D15085"/>
    <w:rsid w:val="00E67CBA"/>
    <w:rsid w:val="00EB344F"/>
    <w:rsid w:val="00EC39D7"/>
    <w:rsid w:val="00F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3257"/>
  <w15:chartTrackingRefBased/>
  <w15:docId w15:val="{0566BA97-E6EE-4493-A648-91762FD4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3CF"/>
    <w:pPr>
      <w:spacing w:after="0" w:line="240" w:lineRule="auto"/>
    </w:pPr>
    <w:rPr>
      <w:rFonts w:asciiTheme="minorHAnsi" w:eastAsiaTheme="minorEastAsia" w:hAnsiTheme="minorHAnsi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C17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C17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C17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73C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73C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73C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73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73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73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73C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7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73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7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73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73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73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7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73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73CF"/>
    <w:rPr>
      <w:b/>
      <w:bCs/>
      <w:smallCaps/>
      <w:color w:val="2F5496" w:themeColor="accent1" w:themeShade="BF"/>
      <w:spacing w:val="5"/>
    </w:rPr>
  </w:style>
  <w:style w:type="character" w:styleId="ac">
    <w:name w:val="FollowedHyperlink"/>
    <w:basedOn w:val="a0"/>
    <w:rsid w:val="00C173CF"/>
    <w:rPr>
      <w:color w:val="800080"/>
      <w:u w:val="single"/>
    </w:rPr>
  </w:style>
  <w:style w:type="character" w:styleId="ad">
    <w:name w:val="Hyperlink"/>
    <w:basedOn w:val="a0"/>
    <w:rsid w:val="00C173CF"/>
    <w:rPr>
      <w:color w:val="0000FF"/>
      <w:u w:val="single"/>
    </w:rPr>
  </w:style>
  <w:style w:type="table" w:styleId="ae">
    <w:name w:val="Table Grid"/>
    <w:basedOn w:val="a1"/>
    <w:rsid w:val="00C173CF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C173CF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C173CF"/>
  </w:style>
  <w:style w:type="character" w:customStyle="1" w:styleId="af1">
    <w:name w:val="Текст примечания Знак"/>
    <w:basedOn w:val="a0"/>
    <w:link w:val="af0"/>
    <w:uiPriority w:val="99"/>
    <w:rsid w:val="00C173CF"/>
    <w:rPr>
      <w:rFonts w:asciiTheme="minorHAnsi" w:eastAsiaTheme="minorEastAsia" w:hAnsiTheme="minorHAnsi"/>
      <w:sz w:val="20"/>
      <w:szCs w:val="20"/>
      <w:lang w:val="en-US" w:eastAsia="zh-CN"/>
    </w:rPr>
  </w:style>
  <w:style w:type="paragraph" w:styleId="af2">
    <w:name w:val="annotation subject"/>
    <w:basedOn w:val="af0"/>
    <w:next w:val="af0"/>
    <w:link w:val="af3"/>
    <w:rsid w:val="00C173CF"/>
    <w:rPr>
      <w:b/>
      <w:bCs/>
    </w:rPr>
  </w:style>
  <w:style w:type="character" w:customStyle="1" w:styleId="af3">
    <w:name w:val="Тема примечания Знак"/>
    <w:basedOn w:val="af1"/>
    <w:link w:val="af2"/>
    <w:rsid w:val="00C173CF"/>
    <w:rPr>
      <w:rFonts w:asciiTheme="minorHAnsi" w:eastAsiaTheme="minorEastAsia" w:hAnsiTheme="minorHAnsi"/>
      <w:b/>
      <w:bCs/>
      <w:sz w:val="20"/>
      <w:szCs w:val="20"/>
      <w:lang w:val="en-US" w:eastAsia="zh-CN"/>
    </w:rPr>
  </w:style>
  <w:style w:type="paragraph" w:styleId="af4">
    <w:name w:val="Balloon Text"/>
    <w:basedOn w:val="a"/>
    <w:link w:val="af5"/>
    <w:rsid w:val="00C173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173CF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f6">
    <w:name w:val="Revision"/>
    <w:hidden/>
    <w:uiPriority w:val="99"/>
    <w:unhideWhenUsed/>
    <w:rsid w:val="00C173CF"/>
    <w:pPr>
      <w:spacing w:after="0" w:line="240" w:lineRule="auto"/>
    </w:pPr>
    <w:rPr>
      <w:rFonts w:asciiTheme="minorHAnsi" w:eastAsiaTheme="minorEastAsia" w:hAnsiTheme="minorHAnsi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3980</Words>
  <Characters>22691</Characters>
  <Application>Microsoft Office Word</Application>
  <DocSecurity>0</DocSecurity>
  <Lines>189</Lines>
  <Paragraphs>53</Paragraphs>
  <ScaleCrop>false</ScaleCrop>
  <Company/>
  <LinksUpToDate>false</LinksUpToDate>
  <CharactersWithSpaces>26618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Ж</dc:creator>
  <cp:keywords/>
  <dc:description/>
  <cp:lastModifiedBy>Алина Ж</cp:lastModifiedBy>
  <cp:revision>2</cp:revision>
  <dcterms:created xsi:type="dcterms:W3CDTF">2025-01-10T13:59:00Z</dcterms:created>
  <dcterms:modified xsi:type="dcterms:W3CDTF">2025-02-03T12:36:00Z</dcterms:modified>
</cp:coreProperties>
</file>