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27" w:rsidRDefault="00C02B35">
      <w:pPr>
        <w:spacing w:after="0" w:line="259" w:lineRule="auto"/>
        <w:ind w:right="51" w:firstLine="0"/>
        <w:jc w:val="center"/>
      </w:pPr>
      <w:r>
        <w:rPr>
          <w:b/>
          <w:sz w:val="36"/>
        </w:rPr>
        <w:t xml:space="preserve">ПРАВИТЕЛЬСТВО   РОССИЙСКОЙ   ФЕДЕРАЦИИ </w:t>
      </w:r>
    </w:p>
    <w:p w:rsidR="004C1927" w:rsidRDefault="00C02B35">
      <w:pPr>
        <w:spacing w:after="41" w:line="259" w:lineRule="auto"/>
        <w:ind w:right="8" w:firstLine="0"/>
        <w:jc w:val="center"/>
      </w:pPr>
      <w:r>
        <w:rPr>
          <w:b/>
          <w:sz w:val="26"/>
        </w:rPr>
        <w:t xml:space="preserve"> </w:t>
      </w:r>
    </w:p>
    <w:p w:rsidR="004C1927" w:rsidRDefault="00C02B35">
      <w:pPr>
        <w:spacing w:after="0" w:line="259" w:lineRule="auto"/>
        <w:ind w:right="60" w:firstLine="0"/>
        <w:jc w:val="center"/>
      </w:pPr>
      <w:r>
        <w:rPr>
          <w:sz w:val="30"/>
        </w:rPr>
        <w:t xml:space="preserve">П О С Т А Н О В Л Е Н И Е </w:t>
      </w:r>
    </w:p>
    <w:p w:rsidR="004C1927" w:rsidRDefault="00C02B35">
      <w:pPr>
        <w:spacing w:after="20" w:line="259" w:lineRule="auto"/>
        <w:ind w:right="3" w:firstLine="0"/>
        <w:jc w:val="center"/>
      </w:pPr>
      <w:r>
        <w:rPr>
          <w:b/>
        </w:rPr>
        <w:t xml:space="preserve"> </w:t>
      </w:r>
    </w:p>
    <w:p w:rsidR="004C1927" w:rsidRDefault="00C02B35">
      <w:pPr>
        <w:spacing w:after="0" w:line="259" w:lineRule="auto"/>
        <w:ind w:left="10" w:hanging="10"/>
        <w:jc w:val="center"/>
      </w:pPr>
      <w:r>
        <w:t xml:space="preserve">от _ ______ ____ г.  №  __   </w:t>
      </w:r>
    </w:p>
    <w:p w:rsidR="004C1927" w:rsidRDefault="00C02B35">
      <w:pPr>
        <w:spacing w:after="7" w:line="259" w:lineRule="auto"/>
        <w:ind w:right="23" w:firstLine="0"/>
        <w:jc w:val="center"/>
      </w:pPr>
      <w:r>
        <w:rPr>
          <w:sz w:val="20"/>
        </w:rPr>
        <w:t xml:space="preserve"> </w:t>
      </w:r>
    </w:p>
    <w:p w:rsidR="004C1927" w:rsidRDefault="00C02B35">
      <w:pPr>
        <w:spacing w:after="60" w:line="259" w:lineRule="auto"/>
        <w:ind w:right="89" w:firstLine="0"/>
        <w:jc w:val="center"/>
      </w:pPr>
      <w:r>
        <w:rPr>
          <w:sz w:val="20"/>
        </w:rPr>
        <w:t xml:space="preserve">МОСКВА </w:t>
      </w:r>
    </w:p>
    <w:p w:rsidR="004C1927" w:rsidRDefault="00C02B35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4C1927" w:rsidRDefault="00C02B35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4C1927" w:rsidRDefault="00C02B35">
      <w:pPr>
        <w:spacing w:after="57" w:line="259" w:lineRule="auto"/>
        <w:ind w:right="8" w:firstLine="0"/>
        <w:jc w:val="center"/>
      </w:pPr>
      <w:r>
        <w:rPr>
          <w:sz w:val="26"/>
        </w:rPr>
        <w:t xml:space="preserve"> </w:t>
      </w:r>
    </w:p>
    <w:p w:rsidR="004C1927" w:rsidRDefault="00C02B35">
      <w:pPr>
        <w:pStyle w:val="1"/>
      </w:pPr>
      <w:r>
        <w:t xml:space="preserve">Об утверждении </w:t>
      </w:r>
      <w:r>
        <w:t xml:space="preserve">Порядка </w:t>
      </w:r>
      <w:bookmarkStart w:id="0" w:name="_GoBack"/>
      <w:r>
        <w:t>возмещения вреда</w:t>
      </w:r>
      <w:bookmarkEnd w:id="0"/>
      <w:r>
        <w:t xml:space="preserve">,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организациями, осуществляющими водоотведение, и их абонентами </w:t>
      </w:r>
    </w:p>
    <w:p w:rsidR="004C1927" w:rsidRDefault="00C02B35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4C1927" w:rsidRDefault="00C02B35">
      <w:pPr>
        <w:spacing w:after="9" w:line="259" w:lineRule="auto"/>
        <w:ind w:right="1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C1927" w:rsidRDefault="00C02B35">
      <w:pPr>
        <w:ind w:left="-15" w:right="61" w:firstLine="540"/>
      </w:pPr>
      <w:r>
        <w:t>В соответств</w:t>
      </w:r>
      <w:r>
        <w:t>ии с пунктом 3 статьи 78</w:t>
      </w:r>
      <w:r>
        <w:rPr>
          <w:vertAlign w:val="superscript"/>
        </w:rPr>
        <w:t>1</w:t>
      </w:r>
      <w:r>
        <w:t xml:space="preserve"> Федерального закона «Об охране окружающей среды» Правительство Российской Федерации </w:t>
      </w:r>
      <w:proofErr w:type="gramStart"/>
      <w:r>
        <w:t>постановляет:  утвердить</w:t>
      </w:r>
      <w:proofErr w:type="gramEnd"/>
      <w:r>
        <w:t xml:space="preserve"> прилагаемый Порядок возмещения вреда, причиненного водному объекту при сбросе загрязняющих веществ в водные объекты и цен</w:t>
      </w:r>
      <w:r>
        <w:t xml:space="preserve">трализованные системы водоотведения поселений или городских округов организациями, осуществляющими водоотведение, и их абонентами. </w:t>
      </w:r>
    </w:p>
    <w:p w:rsidR="004C1927" w:rsidRDefault="00C02B35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C1927" w:rsidRDefault="00C02B35">
      <w:pPr>
        <w:spacing w:after="0" w:line="259" w:lineRule="auto"/>
        <w:ind w:left="77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C1927" w:rsidRDefault="00C02B35">
      <w:pPr>
        <w:spacing w:after="0" w:line="259" w:lineRule="auto"/>
        <w:ind w:left="77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C1927" w:rsidRDefault="00C02B35">
      <w:pPr>
        <w:spacing w:after="0" w:line="259" w:lineRule="auto"/>
        <w:ind w:left="77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C1927" w:rsidRDefault="00C02B35">
      <w:pPr>
        <w:spacing w:after="15" w:line="259" w:lineRule="auto"/>
        <w:ind w:left="77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C1927" w:rsidRDefault="00C02B35">
      <w:pPr>
        <w:spacing w:after="24" w:line="259" w:lineRule="auto"/>
        <w:ind w:left="10" w:right="57" w:hanging="10"/>
        <w:jc w:val="right"/>
      </w:pPr>
      <w:r>
        <w:t xml:space="preserve">Председатель Правительства </w:t>
      </w:r>
    </w:p>
    <w:p w:rsidR="004C1927" w:rsidRDefault="00C02B35">
      <w:pPr>
        <w:spacing w:after="24" w:line="259" w:lineRule="auto"/>
        <w:ind w:left="10" w:right="57" w:hanging="10"/>
        <w:jc w:val="right"/>
      </w:pPr>
      <w:r>
        <w:t xml:space="preserve">Российской Федерации </w:t>
      </w:r>
    </w:p>
    <w:p w:rsidR="004C1927" w:rsidRDefault="00C02B35">
      <w:pPr>
        <w:spacing w:after="0" w:line="259" w:lineRule="auto"/>
        <w:ind w:left="10" w:right="57" w:hanging="10"/>
        <w:jc w:val="right"/>
      </w:pPr>
      <w:r>
        <w:t xml:space="preserve">М.МИШУСТИН </w:t>
      </w:r>
    </w:p>
    <w:p w:rsidR="004C1927" w:rsidRDefault="00C02B35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1927" w:rsidRDefault="00C02B35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1927" w:rsidRDefault="00C02B35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1927" w:rsidRDefault="00C02B35">
      <w:pPr>
        <w:spacing w:after="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1927" w:rsidRDefault="00C02B35">
      <w:pPr>
        <w:spacing w:after="0" w:line="259" w:lineRule="auto"/>
        <w:ind w:right="5" w:firstLine="0"/>
        <w:jc w:val="right"/>
      </w:pPr>
      <w:r>
        <w:rPr>
          <w:sz w:val="26"/>
        </w:rPr>
        <w:t xml:space="preserve"> </w:t>
      </w:r>
    </w:p>
    <w:p w:rsidR="004C1927" w:rsidRDefault="00C02B35">
      <w:pPr>
        <w:spacing w:after="0" w:line="259" w:lineRule="auto"/>
        <w:ind w:right="5" w:firstLine="0"/>
        <w:jc w:val="right"/>
      </w:pPr>
      <w:r>
        <w:rPr>
          <w:sz w:val="26"/>
        </w:rP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0" w:line="259" w:lineRule="auto"/>
        <w:ind w:right="0" w:firstLine="0"/>
        <w:jc w:val="right"/>
      </w:pPr>
      <w:r>
        <w:t xml:space="preserve"> </w:t>
      </w:r>
    </w:p>
    <w:p w:rsidR="004C1927" w:rsidRDefault="00C02B35">
      <w:pPr>
        <w:spacing w:after="24" w:line="259" w:lineRule="auto"/>
        <w:ind w:left="10" w:right="57" w:hanging="10"/>
        <w:jc w:val="right"/>
      </w:pPr>
      <w:r>
        <w:t xml:space="preserve">Утвержден </w:t>
      </w:r>
    </w:p>
    <w:p w:rsidR="004C1927" w:rsidRDefault="00C02B35">
      <w:pPr>
        <w:ind w:left="6849" w:right="61" w:hanging="994"/>
      </w:pPr>
      <w:r>
        <w:t xml:space="preserve">постановлением Правительства Российской Федерации </w:t>
      </w:r>
    </w:p>
    <w:p w:rsidR="004C1927" w:rsidRDefault="00C02B35">
      <w:pPr>
        <w:ind w:left="1442" w:right="61" w:firstLine="0"/>
      </w:pPr>
      <w:r>
        <w:t xml:space="preserve">                                                                             от                       №       </w:t>
      </w:r>
    </w:p>
    <w:p w:rsidR="004C1927" w:rsidRDefault="00C02B35">
      <w:pPr>
        <w:spacing w:after="31" w:line="259" w:lineRule="auto"/>
        <w:ind w:right="2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C1927" w:rsidRDefault="00C02B35">
      <w:pPr>
        <w:spacing w:after="27" w:line="259" w:lineRule="auto"/>
        <w:ind w:right="3" w:firstLine="0"/>
        <w:jc w:val="center"/>
      </w:pPr>
      <w:r>
        <w:rPr>
          <w:b/>
        </w:rPr>
        <w:t xml:space="preserve"> </w:t>
      </w:r>
    </w:p>
    <w:p w:rsidR="004C1927" w:rsidRDefault="00C02B35">
      <w:pPr>
        <w:pStyle w:val="1"/>
        <w:spacing w:after="13"/>
        <w:ind w:right="73"/>
      </w:pPr>
      <w:r>
        <w:t xml:space="preserve">Порядок возмещения вреда, причиненного водному объекту при сбросе </w:t>
      </w:r>
    </w:p>
    <w:p w:rsidR="004C1927" w:rsidRDefault="00C02B35">
      <w:pPr>
        <w:spacing w:after="0" w:line="260" w:lineRule="auto"/>
        <w:ind w:left="641" w:right="0" w:hanging="437"/>
        <w:jc w:val="left"/>
      </w:pPr>
      <w:r>
        <w:rPr>
          <w:b/>
        </w:rPr>
        <w:t xml:space="preserve">загрязняющих веществ в </w:t>
      </w:r>
      <w:r>
        <w:rPr>
          <w:b/>
        </w:rPr>
        <w:t xml:space="preserve">водные объекты и централизованные системы водоотведения поселений или городских округов организациями, осуществляющими водоотведение, и их абонентами </w:t>
      </w:r>
    </w:p>
    <w:p w:rsidR="004C1927" w:rsidRDefault="00C02B35">
      <w:pPr>
        <w:spacing w:after="17" w:line="259" w:lineRule="auto"/>
        <w:ind w:right="0" w:firstLine="0"/>
        <w:jc w:val="left"/>
      </w:pPr>
      <w:r>
        <w:rPr>
          <w:b/>
        </w:rPr>
        <w:t xml:space="preserve"> </w:t>
      </w:r>
    </w:p>
    <w:p w:rsidR="004C1927" w:rsidRDefault="00C02B35">
      <w:pPr>
        <w:numPr>
          <w:ilvl w:val="0"/>
          <w:numId w:val="1"/>
        </w:numPr>
        <w:ind w:right="61"/>
      </w:pPr>
      <w:r>
        <w:t xml:space="preserve">Настоящий Порядок определяет правила возмещения вреда, причиненного водным объектам </w:t>
      </w:r>
      <w:r>
        <w:t>при сбросе загрязняющих веществ в водные объекты и централизованные системы водоотведения поселений или городских округов (далее – вред водному объекту) организациями, осуществляющими водоотведение,</w:t>
      </w:r>
      <w:r>
        <w:rPr>
          <w:rFonts w:ascii="Calibri" w:eastAsia="Calibri" w:hAnsi="Calibri" w:cs="Calibri"/>
          <w:sz w:val="22"/>
        </w:rPr>
        <w:t xml:space="preserve"> </w:t>
      </w:r>
      <w:r>
        <w:t>эксплуатирующими централизованные системы водоотведения п</w:t>
      </w:r>
      <w:r>
        <w:t xml:space="preserve">оселений или городских округов (далее – организации, осуществляющие водоотведение), и их абонентами. </w:t>
      </w:r>
    </w:p>
    <w:p w:rsidR="004C1927" w:rsidRDefault="00C02B35">
      <w:pPr>
        <w:ind w:left="-15" w:right="61"/>
      </w:pPr>
      <w:r>
        <w:t xml:space="preserve">Действие настоящего Порядка также распространяется на иных лиц, допустивших сброс загрязняющих веществ в централизованные системы водоотведения поселений </w:t>
      </w:r>
      <w:r>
        <w:t xml:space="preserve">или городских округов, приведший к причинению вреда водному объекту (далее – иные лица). </w:t>
      </w:r>
    </w:p>
    <w:p w:rsidR="004C1927" w:rsidRDefault="00C02B35">
      <w:pPr>
        <w:numPr>
          <w:ilvl w:val="0"/>
          <w:numId w:val="1"/>
        </w:numPr>
        <w:ind w:right="61"/>
      </w:pPr>
      <w:r>
        <w:t xml:space="preserve">Вред водному объекту подлежит возмещению в </w:t>
      </w:r>
      <w:proofErr w:type="gramStart"/>
      <w:r>
        <w:t>соответствии  с</w:t>
      </w:r>
      <w:proofErr w:type="gramEnd"/>
      <w:r>
        <w:t xml:space="preserve"> Гражданским кодексом Российской Федерации, Водным кодексом Российской Федерации и принятыми в соответствии </w:t>
      </w:r>
      <w:r>
        <w:t xml:space="preserve">с ним нормативными правовыми актами, Федеральным законом «Об охране окружающей среды» и настоящим Порядком.   </w:t>
      </w:r>
    </w:p>
    <w:p w:rsidR="004C1927" w:rsidRDefault="00C02B35">
      <w:pPr>
        <w:numPr>
          <w:ilvl w:val="0"/>
          <w:numId w:val="1"/>
        </w:numPr>
        <w:ind w:right="61"/>
      </w:pPr>
      <w:r>
        <w:t>В настоящем Порядке используются понятия, определенные в Водном кодексе Российской Федерации, Федеральном законе «Об охране окружающей среды», Фе</w:t>
      </w:r>
      <w:r>
        <w:t xml:space="preserve">деральном законе «О водоснабжении и водоотведении» и нормативных правовых актах, принятых в соответствии с Водным кодексом Российской Федерации и указанными федеральными законами.  </w:t>
      </w:r>
    </w:p>
    <w:p w:rsidR="004C1927" w:rsidRDefault="00C02B35">
      <w:pPr>
        <w:ind w:left="-15" w:right="61"/>
      </w:pPr>
      <w:r>
        <w:lastRenderedPageBreak/>
        <w:t>В целях настоящего Порядка под периодом сброса понимается продолжительност</w:t>
      </w:r>
      <w:r>
        <w:t xml:space="preserve">ь сброса загрязняющих веществ с момента обнаружения такого сброса и до его прекращения, применяемая при расчете </w:t>
      </w:r>
      <w:r>
        <w:rPr>
          <w:color w:val="22272F"/>
        </w:rPr>
        <w:t xml:space="preserve">массы сброшенного загрязняющего вещества, </w:t>
      </w:r>
      <w:r>
        <w:t>определяемая в соответствии с методикой исчисления размера вреда, причиненного водным объектам вследст</w:t>
      </w:r>
      <w:r>
        <w:t xml:space="preserve">вие нарушения водного законодательства, утвержденной в соответствии с частью 2 статьи 69 Водного кодекса Российской Федерации. </w:t>
      </w:r>
    </w:p>
    <w:p w:rsidR="004C1927" w:rsidRDefault="00C02B35">
      <w:pPr>
        <w:numPr>
          <w:ilvl w:val="0"/>
          <w:numId w:val="1"/>
        </w:numPr>
        <w:ind w:right="61"/>
      </w:pPr>
      <w:r>
        <w:t xml:space="preserve">Вред водному объекту подлежит возмещению организациями, осуществляющими водоотведение, при причинении вреда водному объекту: </w:t>
      </w:r>
    </w:p>
    <w:p w:rsidR="004C1927" w:rsidRDefault="00C02B35">
      <w:pPr>
        <w:ind w:left="-15" w:right="61" w:firstLine="566"/>
      </w:pPr>
      <w:r>
        <w:t>а)</w:t>
      </w:r>
      <w:r>
        <w:t xml:space="preserve"> в результате сброса объектами централизованных систем водоотведения поселений или городских округов веществ, для которых устанавливаются технологические показатели наилучших доступных технологий в сфере очистки сточных вод с использованием централизованны</w:t>
      </w:r>
      <w:r>
        <w:t xml:space="preserve">х систем водоотведения поселений или городских округов (далее - технологически нормируемые вещества) и </w:t>
      </w:r>
      <w:proofErr w:type="spellStart"/>
      <w:r>
        <w:t>невыявлении</w:t>
      </w:r>
      <w:proofErr w:type="spellEnd"/>
      <w:r>
        <w:t xml:space="preserve"> абонентов, допустивших в течение периода сброса и 72 часов до его начала превышение в 3 и более раза нормативов состава сточных вод по таким </w:t>
      </w:r>
      <w:r>
        <w:t xml:space="preserve">веществам или допустивших сброс таких веществ в случае, если нормативы состава сточных вод по таким веществам не установлены, и </w:t>
      </w:r>
      <w:proofErr w:type="spellStart"/>
      <w:r>
        <w:t>невыявлении</w:t>
      </w:r>
      <w:proofErr w:type="spellEnd"/>
      <w:r>
        <w:t xml:space="preserve"> иных лиц, допустивших в течение периода сброса и 72 часов до его начала сброс в централизованные системы водоотведен</w:t>
      </w:r>
      <w:r>
        <w:t xml:space="preserve">ия поселений или городских округов таких веществ, приведший к причинению вреда водному объекту; </w:t>
      </w:r>
    </w:p>
    <w:p w:rsidR="004C1927" w:rsidRDefault="00C02B35">
      <w:pPr>
        <w:ind w:left="-15" w:right="61" w:firstLine="0"/>
      </w:pPr>
      <w:r>
        <w:t xml:space="preserve">        б) в результате сброса в централизованные системы водоотведения поселений или городских округов в течение периода сброса и 72 часов до его начала загря</w:t>
      </w:r>
      <w:r>
        <w:t xml:space="preserve">зняющих веществ, не относящихся к технологически нормируемым веществам, образовавшихся в результате хозяйственной или иной деятельности объектов организаций, осуществляющих водоотведение; </w:t>
      </w:r>
    </w:p>
    <w:p w:rsidR="004C1927" w:rsidRDefault="00C02B35">
      <w:pPr>
        <w:ind w:left="-15" w:right="61" w:firstLine="0"/>
      </w:pPr>
      <w:r>
        <w:t xml:space="preserve">        в) в результате сброса в централизованные системы водоотвед</w:t>
      </w:r>
      <w:r>
        <w:t xml:space="preserve">ения поселений или городских округов загрязняющих веществ, не относящихся к технологически нормируемым веществам, и </w:t>
      </w:r>
      <w:proofErr w:type="spellStart"/>
      <w:r>
        <w:t>невыявлении</w:t>
      </w:r>
      <w:proofErr w:type="spellEnd"/>
      <w:r>
        <w:t xml:space="preserve"> абонентов, допустивших в течение периода сброса и 72 часов до его начала сброс таких веществ сверх установленных нормативов сост</w:t>
      </w:r>
      <w:r>
        <w:t xml:space="preserve">ава сточных вод или сброс таких веществ в случае, если нормативы состава сточных вод по таким веществам не установлены, и </w:t>
      </w:r>
      <w:proofErr w:type="spellStart"/>
      <w:r>
        <w:t>невыявлении</w:t>
      </w:r>
      <w:proofErr w:type="spellEnd"/>
      <w:r>
        <w:t xml:space="preserve"> иных лиц, допустивших в течение периода сброса и 72 часов до его начала сброс в централизованные системы водоотведения пос</w:t>
      </w:r>
      <w:r>
        <w:t xml:space="preserve">елений или городских округов таких веществ, приведший к причинению вреда водному объекту. </w:t>
      </w:r>
    </w:p>
    <w:p w:rsidR="004C1927" w:rsidRDefault="00C02B35">
      <w:pPr>
        <w:numPr>
          <w:ilvl w:val="0"/>
          <w:numId w:val="1"/>
        </w:numPr>
        <w:ind w:right="61"/>
      </w:pPr>
      <w:r>
        <w:t xml:space="preserve">Вред водному объекту подлежит возмещению </w:t>
      </w:r>
      <w:proofErr w:type="gramStart"/>
      <w:r>
        <w:t>абонентами  при</w:t>
      </w:r>
      <w:proofErr w:type="gramEnd"/>
      <w:r>
        <w:t xml:space="preserve"> причинении вреда водному объекту: </w:t>
      </w:r>
    </w:p>
    <w:p w:rsidR="004C1927" w:rsidRDefault="00C02B35">
      <w:pPr>
        <w:ind w:left="-15" w:right="61" w:firstLine="0"/>
      </w:pPr>
      <w:r>
        <w:lastRenderedPageBreak/>
        <w:t xml:space="preserve">        а) при сбросе объектами централизованных систем водоотведения пос</w:t>
      </w:r>
      <w:r>
        <w:t>елений или городских округов загрязняющих веществ, не относящихся к технологически нормируемым веществам, в случае превышения абонентами в течение периода сброса и 72 часов до его начала нормативов состава сточных вод по таким веществам или сброса таких ве</w:t>
      </w:r>
      <w:r>
        <w:t xml:space="preserve">ществ в случае, если нормативы состава сточных вод в отношении таких веществ не установлены;  </w:t>
      </w:r>
    </w:p>
    <w:p w:rsidR="004C1927" w:rsidRDefault="00C02B35">
      <w:pPr>
        <w:ind w:left="-15" w:right="61" w:firstLine="0"/>
      </w:pPr>
      <w:r>
        <w:t xml:space="preserve">      б) при сбросе объектами централизованных систем водоотведения поселений или городских округов технологически нормируемых веществ в случае превышения абонен</w:t>
      </w:r>
      <w:r>
        <w:t xml:space="preserve">тами в течение периода сброса и 72 часов до его начала в 3 и более раза нормативов состава сточных вод по таким веществам или сброса таких веществ в случае, если нормативы состава сточных вод в отношении таких веществ не установлены. </w:t>
      </w:r>
    </w:p>
    <w:p w:rsidR="004C1927" w:rsidRDefault="00C02B35">
      <w:pPr>
        <w:numPr>
          <w:ilvl w:val="0"/>
          <w:numId w:val="1"/>
        </w:numPr>
        <w:ind w:right="61"/>
      </w:pPr>
      <w:r>
        <w:t xml:space="preserve">Вред водному объекту </w:t>
      </w:r>
      <w:r>
        <w:t>подлежит возмещению иными лицами при причинении вреда водному объекту при сбросе объектами централизованных систем водоотведения поселений или городских округов загрязняющих веществ (как относящихся, так и не относящихся к технологически нормируемым вещест</w:t>
      </w:r>
      <w:r>
        <w:t xml:space="preserve">вам) в случае сброса иными лицами в течение периода сброса и 72 часов до его начала в централизованные системы водоотведения поселений или городских округов загрязняющих веществ, сброс которых привел к причинению вреда водному объекту. </w:t>
      </w:r>
    </w:p>
    <w:p w:rsidR="004C1927" w:rsidRDefault="00C02B35">
      <w:pPr>
        <w:numPr>
          <w:ilvl w:val="0"/>
          <w:numId w:val="1"/>
        </w:numPr>
        <w:ind w:right="61"/>
      </w:pPr>
      <w:r>
        <w:t xml:space="preserve">Исчисление размера </w:t>
      </w:r>
      <w:r>
        <w:t xml:space="preserve">вреда водному объекту осуществляется в соответствии с методикой исчисления размера вреда, причиненного водным объектам вследствие нарушения водного законодательства, утвержденной в соответствии с частью 2 статьи 69 Водного кодекса Российской Федерации.  </w:t>
      </w:r>
    </w:p>
    <w:p w:rsidR="004C1927" w:rsidRDefault="00C02B35">
      <w:pPr>
        <w:ind w:left="-15" w:right="61"/>
      </w:pPr>
      <w:r>
        <w:t>П</w:t>
      </w:r>
      <w:r>
        <w:t>ри определении массы сброшенного загрязняющего вещества в составе сточных вод, используемой при исчислении размера вреда водному объекту, не учитывается объем сточных вод, отведенных от объектов абонентов, для которых в соответствии с законодательством Рос</w:t>
      </w:r>
      <w:r>
        <w:t xml:space="preserve">сийской Федерации не устанавливаются нормативы состава сточных вод.  </w:t>
      </w:r>
    </w:p>
    <w:p w:rsidR="004C1927" w:rsidRDefault="00C02B35">
      <w:pPr>
        <w:numPr>
          <w:ilvl w:val="0"/>
          <w:numId w:val="1"/>
        </w:numPr>
        <w:ind w:right="61"/>
      </w:pPr>
      <w:r>
        <w:t>Организации, осуществляющие водоотведение, получившие от  территориального органа федерального органа исполнительной власти, осуществляющего федеральный государственный экологический над</w:t>
      </w:r>
      <w:r>
        <w:t>зор (в случае если объект подлежит федеральному государственному экологическому надзору), или органа исполнительной власти субъекта Российской Федерации, осуществляющего региональный государственный экологический надзор (в случае если объект подлежит регио</w:t>
      </w:r>
      <w:r>
        <w:t>нальному государственному экологическому надзору) (далее – уполномоченный орган, уполномоченные органы) требование о возмещении вреда водному объекту (далее – требование), обязаны в течение 20 рабочих дней со дня его получения совершить одно из следующих д</w:t>
      </w:r>
      <w:r>
        <w:t xml:space="preserve">ействий:  а) добровольно возместить причиненный вред водному объекту; </w:t>
      </w:r>
    </w:p>
    <w:p w:rsidR="004C1927" w:rsidRDefault="00C02B35">
      <w:pPr>
        <w:ind w:left="-15" w:right="61" w:firstLine="566"/>
      </w:pPr>
      <w:r>
        <w:lastRenderedPageBreak/>
        <w:t>б) представить в уполномоченный орган документы, подтверждающие наличие указанных в пунктах 5 и 6 настоящего Порядка оснований для возмещения вреда абонентами и (или) иными лицами (в то</w:t>
      </w:r>
      <w:r>
        <w:t>м числе декларации о составе и свойствах сточных вод, сбрасываемых абонентами в централизованную систему водоотведения (канализации), документы, подтверждающие результаты лабораторных исследований проб сточных вод абонента или иного лица, в том числе отобр</w:t>
      </w:r>
      <w:r>
        <w:t>анных с использованием автоматического оборудования для отбора проб сточных вод, проведенных организацией, аккредитованной в соответствии с законодательством Российской Федерации об аккредитации в национальной системе аккредитации, или иные материалы),</w:t>
      </w:r>
      <w:r>
        <w:rPr>
          <w:rFonts w:ascii="Calibri" w:eastAsia="Calibri" w:hAnsi="Calibri" w:cs="Calibri"/>
          <w:sz w:val="22"/>
        </w:rPr>
        <w:t xml:space="preserve"> </w:t>
      </w:r>
      <w:r>
        <w:t>а т</w:t>
      </w:r>
      <w:r>
        <w:t>акже информацию о таких абонентах и (или) иных лицах (для юридических лиц – сведения о наименовании и месте нахождения, для физических лиц - сведения о фамилии, имени, отчестве (при наличии) и месте жительства), об объемах сточных вод, сброшенных такими аб</w:t>
      </w:r>
      <w:r>
        <w:t xml:space="preserve">онентами и (или) иными лицами за соответствующий календарный месяц (месяцы), включающие в себя период сброса и 72 часа до его начала; </w:t>
      </w:r>
    </w:p>
    <w:p w:rsidR="004C1927" w:rsidRDefault="00C02B35">
      <w:pPr>
        <w:spacing w:after="0" w:line="259" w:lineRule="auto"/>
        <w:ind w:left="10" w:right="67" w:hanging="10"/>
        <w:jc w:val="center"/>
      </w:pPr>
      <w:r>
        <w:t xml:space="preserve">в) представить мотивированные возражения относительно требования.  </w:t>
      </w:r>
    </w:p>
    <w:p w:rsidR="004C1927" w:rsidRDefault="00C02B35">
      <w:pPr>
        <w:numPr>
          <w:ilvl w:val="0"/>
          <w:numId w:val="1"/>
        </w:numPr>
        <w:ind w:right="61"/>
      </w:pPr>
      <w:r>
        <w:t xml:space="preserve">В целях учета требований абзаца второго пункта 7 </w:t>
      </w:r>
      <w:r>
        <w:t>настоящего Порядка организации, осуществляющие водоотведение, получившие от уполномоченного органа требование, в течение 20 рабочих дней со дня получения требования также обязаны представить в уполномоченный орган информацию об объеме сточных вод, отведенн</w:t>
      </w:r>
      <w:r>
        <w:t>ых от объектов абонентов, для которых в соответствии с законодательством Российской Федерации не устанавливаются нормативы состава сточных вод.</w:t>
      </w:r>
      <w:r>
        <w:rPr>
          <w:i/>
          <w:sz w:val="22"/>
        </w:rPr>
        <w:t xml:space="preserve"> </w:t>
      </w:r>
      <w:r>
        <w:t xml:space="preserve"> </w:t>
      </w:r>
    </w:p>
    <w:p w:rsidR="004C1927" w:rsidRDefault="00C02B35">
      <w:pPr>
        <w:numPr>
          <w:ilvl w:val="0"/>
          <w:numId w:val="1"/>
        </w:numPr>
        <w:ind w:right="61"/>
      </w:pPr>
      <w:r>
        <w:t>Если уполномоченным органом при рассмотрении документов, представленных организацией, осуществляющей водоотвед</w:t>
      </w:r>
      <w:r>
        <w:t>ение, указанных в подпункте «б» пункта 8 настоящего Порядка, выявлены ошибки и (или) противоречия между сведениями, указанными в документах, уполномоченный орган направляет организации, осуществляющей водоотведение, запрос о предоставлении пояснений и (или</w:t>
      </w:r>
      <w:r>
        <w:t xml:space="preserve">) документов, необходимых для проверки достоверности сведений, содержащихся в документах, указанных в подпункте «б» пункта 8 настоящего Порядка. </w:t>
      </w:r>
    </w:p>
    <w:p w:rsidR="004C1927" w:rsidRDefault="00C02B35">
      <w:pPr>
        <w:ind w:left="-15" w:right="61"/>
      </w:pPr>
      <w:r>
        <w:t>Организация, осуществляющая водоотведение, в течение 10 рабочих дней со дня получения от уполномоченного орган</w:t>
      </w:r>
      <w:r>
        <w:t xml:space="preserve">а запроса, указанного в абзаце первом настоящего пункта, обязана представить пояснения и (или) документы, необходимые для проверки достоверности сведений, содержащихся в документах, указанных в подпункте «б» пункта 8 настоящего Порядка. </w:t>
      </w:r>
    </w:p>
    <w:p w:rsidR="004C1927" w:rsidRDefault="00C02B35">
      <w:pPr>
        <w:numPr>
          <w:ilvl w:val="0"/>
          <w:numId w:val="1"/>
        </w:numPr>
        <w:ind w:right="61"/>
      </w:pPr>
      <w:r>
        <w:t>Уполномоченный орг</w:t>
      </w:r>
      <w:r>
        <w:t xml:space="preserve">ан при получении от организации, осуществляющей водоотведение, документов, указанных в подпунктах «б» и «в» пункта 8 настоящего Порядка, обязан в течение 20 рабочих дней со дня </w:t>
      </w:r>
      <w:r>
        <w:lastRenderedPageBreak/>
        <w:t>представления таких документов рассмотреть их и принять одно из следующих решен</w:t>
      </w:r>
      <w:r>
        <w:t xml:space="preserve">ий:  </w:t>
      </w:r>
    </w:p>
    <w:p w:rsidR="004C1927" w:rsidRDefault="00C02B35">
      <w:pPr>
        <w:ind w:left="-15" w:right="61"/>
      </w:pPr>
      <w:r>
        <w:t>а) о направлении требования абонентам и (или) иным лицам с указанием размера вреда, подлежащего возмещению каждым из указанных лиц, определенного в соответствии с пунктами 16 - 20 настоящего Порядка, и отказе от требования о возмещении вреда к органи</w:t>
      </w:r>
      <w:r>
        <w:t xml:space="preserve">зации, осуществляющей водоотведение (при отсутствии оснований для возмещения вреда водному объекту организацией, осуществляющей водоотведение, предусмотренных пунктом 4 настоящего Порядка); </w:t>
      </w:r>
    </w:p>
    <w:p w:rsidR="004C1927" w:rsidRDefault="00C02B35">
      <w:pPr>
        <w:tabs>
          <w:tab w:val="center" w:pos="827"/>
          <w:tab w:val="center" w:pos="1414"/>
          <w:tab w:val="center" w:pos="2653"/>
          <w:tab w:val="center" w:pos="4496"/>
          <w:tab w:val="center" w:pos="6358"/>
          <w:tab w:val="right" w:pos="9708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r>
        <w:tab/>
        <w:t xml:space="preserve">о </w:t>
      </w:r>
      <w:r>
        <w:tab/>
        <w:t xml:space="preserve">направлении </w:t>
      </w:r>
      <w:r>
        <w:tab/>
        <w:t xml:space="preserve">требования </w:t>
      </w:r>
      <w:r>
        <w:tab/>
        <w:t xml:space="preserve">организации, </w:t>
      </w:r>
      <w:r>
        <w:tab/>
        <w:t xml:space="preserve">осуществляющей </w:t>
      </w:r>
    </w:p>
    <w:p w:rsidR="004C1927" w:rsidRDefault="00C02B35">
      <w:pPr>
        <w:ind w:left="-15" w:right="61" w:firstLine="0"/>
      </w:pPr>
      <w:r>
        <w:t>во</w:t>
      </w:r>
      <w:r>
        <w:t>доотведение, абонентам и (или) иным лицам (при наличии указанных в пунктах 4 – 6 настоящего Порядка оснований для возмещения вреда водному объекту такими лицами) с указанием размера вреда, подлежащего возмещению каждым из указанных лиц, определенного в соо</w:t>
      </w:r>
      <w:r>
        <w:t xml:space="preserve">тветствии с пунктами 16 - 21 настоящего Порядка; </w:t>
      </w:r>
    </w:p>
    <w:p w:rsidR="004C1927" w:rsidRDefault="00C02B35">
      <w:pPr>
        <w:ind w:left="-15" w:right="61"/>
      </w:pPr>
      <w:r>
        <w:t xml:space="preserve">в) о направлении требования организации, осуществляющей водоотведение, о возмещении вреда водному объекту (при отсутствии указанных в пунктах 5 и 6 настоящего Порядка оснований для возмещения вреда водному </w:t>
      </w:r>
      <w:r>
        <w:t xml:space="preserve">объекту абонентами и (или) иными лицами) с указанием размера вреда, подлежащего возмещению;  </w:t>
      </w:r>
    </w:p>
    <w:p w:rsidR="004C1927" w:rsidRDefault="00C02B35">
      <w:pPr>
        <w:ind w:left="-15" w:right="61"/>
      </w:pPr>
      <w:r>
        <w:t>г) о согласии с мотивированными возражениями организации, осуществляющей водоотведение, относительно требования и отсутствии оснований для возмещения вреда водном</w:t>
      </w:r>
      <w:r>
        <w:t xml:space="preserve">у объекту. </w:t>
      </w:r>
    </w:p>
    <w:p w:rsidR="004C1927" w:rsidRDefault="00C02B35">
      <w:pPr>
        <w:numPr>
          <w:ilvl w:val="0"/>
          <w:numId w:val="2"/>
        </w:numPr>
        <w:ind w:right="61"/>
      </w:pPr>
      <w:r>
        <w:t xml:space="preserve">Уполномоченный орган в письменном виде уведомляет организацию, осуществляющую водоотведение, о решении, принятом в соответствии с пунктом 11 настоящего Порядка, не позднее 5 рабочих дней со дня принятия такого решения. </w:t>
      </w:r>
    </w:p>
    <w:p w:rsidR="004C1927" w:rsidRDefault="00C02B35">
      <w:pPr>
        <w:numPr>
          <w:ilvl w:val="0"/>
          <w:numId w:val="2"/>
        </w:numPr>
        <w:ind w:right="61"/>
      </w:pPr>
      <w:r>
        <w:t xml:space="preserve">В случае принятия решения в соответствии с подпунктами «а» и «б» пункта 11 настоящего Порядка, уполномоченный орган направляет соответствующим абонентам и (или) иным лицам, организации, осуществляющей водоотведение, требования с приложением: </w:t>
      </w:r>
    </w:p>
    <w:p w:rsidR="004C1927" w:rsidRDefault="00C02B35">
      <w:pPr>
        <w:ind w:left="-15" w:right="61"/>
      </w:pPr>
      <w:r>
        <w:t>а) документов</w:t>
      </w:r>
      <w:r>
        <w:t xml:space="preserve"> или иных материалов, указанных в подпункте «б» пункта 8 настоящего Порядка, подтверждающих наличие указанных в пунктах 5 и 6 настоящего Порядка оснований для возмещения вреда конкретным абонентом и </w:t>
      </w:r>
    </w:p>
    <w:p w:rsidR="004C1927" w:rsidRDefault="00C02B35">
      <w:pPr>
        <w:ind w:left="-15" w:right="61" w:firstLine="0"/>
      </w:pPr>
      <w:r>
        <w:t xml:space="preserve">(или) иным лицом; </w:t>
      </w:r>
    </w:p>
    <w:p w:rsidR="004C1927" w:rsidRDefault="00C02B35">
      <w:pPr>
        <w:ind w:left="-15" w:right="61"/>
      </w:pPr>
      <w:r>
        <w:t>б) расчета размера вреда водному объе</w:t>
      </w:r>
      <w:r>
        <w:t xml:space="preserve">кту, подлежащего возмещению конкретным абонентом, иным лицом или организацией, осуществляющей водоотведение.  </w:t>
      </w:r>
    </w:p>
    <w:p w:rsidR="004C1927" w:rsidRDefault="00C02B35">
      <w:pPr>
        <w:numPr>
          <w:ilvl w:val="0"/>
          <w:numId w:val="2"/>
        </w:numPr>
        <w:ind w:right="61"/>
      </w:pPr>
      <w:r>
        <w:lastRenderedPageBreak/>
        <w:t>Абоненты или иные лица в срок не позднее 20 рабочих дней со дня получения от уполномоченного органа требования обязаны осуществить одно из следую</w:t>
      </w:r>
      <w:r>
        <w:t xml:space="preserve">щих действий: </w:t>
      </w:r>
    </w:p>
    <w:p w:rsidR="004C1927" w:rsidRDefault="00C02B35">
      <w:pPr>
        <w:ind w:left="-15" w:right="61" w:firstLine="0"/>
      </w:pPr>
      <w:r>
        <w:t xml:space="preserve">          а) добровольно возместить причиненный вред водному объекту; </w:t>
      </w:r>
    </w:p>
    <w:p w:rsidR="004C1927" w:rsidRDefault="00C02B35">
      <w:pPr>
        <w:ind w:left="-15" w:right="61"/>
      </w:pPr>
      <w:r>
        <w:t>б) представить мотивированные возражения относительно требования.  15. В случае, если организации, осуществляющие водоотведение, в течение 20 рабочих дней со дня получени</w:t>
      </w:r>
      <w:r>
        <w:t>я от уполномоченного органа требования, не совершили ни одного из действий, указанных в пункте 8 настоящего Порядка, или если абоненты или иные лица не совершили ни одного из действий, указанных в пункте 14 настоящего Порядка, а также при несогласии уполно</w:t>
      </w:r>
      <w:r>
        <w:t xml:space="preserve">моченного органа с мотивированными возражениями организаций, осуществляющих водоотведение, абонентов или иных лиц, относительно требования, возмещение вреда водному объекту осуществляется в судебном порядке. </w:t>
      </w:r>
    </w:p>
    <w:p w:rsidR="004C1927" w:rsidRDefault="00C02B35">
      <w:pPr>
        <w:numPr>
          <w:ilvl w:val="0"/>
          <w:numId w:val="3"/>
        </w:numPr>
        <w:ind w:right="61"/>
      </w:pPr>
      <w:r>
        <w:t>В случае наличия указанных в пунктах 4-6 настоя</w:t>
      </w:r>
      <w:r>
        <w:t>щего Порядка оснований для возмещения вреда водному объекту одновременно несколькими лицами размер вреда водному объекту, подлежащий возмещению конкретным абонентом, иным лицом или организацией, осуществляющей водоотведение, (далее – лицо, которому направл</w:t>
      </w:r>
      <w:r>
        <w:t xml:space="preserve">ено требование) рассчитывается уполномоченным органом путем распределения общего размера вреда водному объекту между лицами,  которым направлено требование, в соответствии с пунктами 17-22 настоящего Порядка. </w:t>
      </w:r>
    </w:p>
    <w:p w:rsidR="004C1927" w:rsidRDefault="00C02B35">
      <w:pPr>
        <w:numPr>
          <w:ilvl w:val="0"/>
          <w:numId w:val="3"/>
        </w:numPr>
        <w:ind w:right="61"/>
      </w:pPr>
      <w:r>
        <w:t>Размер вреда водному объекту, подлежащий возме</w:t>
      </w:r>
      <w:r>
        <w:t>щению лицом, которому направлено требование (</w:t>
      </w:r>
      <w:proofErr w:type="spellStart"/>
      <w:r>
        <w:t>У</w:t>
      </w:r>
      <w:r>
        <w:rPr>
          <w:vertAlign w:val="subscript"/>
        </w:rPr>
        <w:t>конкр.полн</w:t>
      </w:r>
      <w:proofErr w:type="spellEnd"/>
      <w:r>
        <w:rPr>
          <w:vertAlign w:val="subscript"/>
        </w:rPr>
        <w:t>.</w:t>
      </w:r>
      <w:r>
        <w:t xml:space="preserve">) (рублей), определяется по формуле: </w:t>
      </w:r>
    </w:p>
    <w:p w:rsidR="004C1927" w:rsidRDefault="00C02B35">
      <w:pPr>
        <w:tabs>
          <w:tab w:val="center" w:pos="3977"/>
          <w:tab w:val="center" w:pos="6145"/>
        </w:tabs>
        <w:spacing w:after="17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  <w:sz w:val="20"/>
        </w:rPr>
        <w:t>𝑚</w:t>
      </w:r>
      <w:r>
        <w:rPr>
          <w:rFonts w:ascii="Cambria Math" w:eastAsia="Cambria Math" w:hAnsi="Cambria Math" w:cs="Cambria Math"/>
          <w:sz w:val="20"/>
        </w:rPr>
        <w:tab/>
      </w:r>
      <w:r>
        <w:rPr>
          <w:rFonts w:ascii="Cambria Math" w:eastAsia="Cambria Math" w:hAnsi="Cambria Math" w:cs="Cambria Math"/>
          <w:sz w:val="20"/>
        </w:rPr>
        <w:t>𝑛</w:t>
      </w:r>
    </w:p>
    <w:p w:rsidR="004C1927" w:rsidRDefault="00C02B35">
      <w:pPr>
        <w:tabs>
          <w:tab w:val="center" w:pos="2885"/>
          <w:tab w:val="center" w:pos="5174"/>
          <w:tab w:val="center" w:pos="7110"/>
        </w:tabs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конкр.полн</w:t>
      </w:r>
      <w:proofErr w:type="spellEnd"/>
      <w:r>
        <w:rPr>
          <w:rFonts w:ascii="Cambria Math" w:eastAsia="Cambria Math" w:hAnsi="Cambria Math" w:cs="Cambria Math"/>
          <w:sz w:val="20"/>
        </w:rPr>
        <w:t xml:space="preserve">. </w:t>
      </w:r>
      <w:r>
        <w:rPr>
          <w:rFonts w:ascii="Cambria Math" w:eastAsia="Cambria Math" w:hAnsi="Cambria Math" w:cs="Cambria Math"/>
        </w:rPr>
        <w:t>= ∑</w:t>
      </w:r>
      <w:r>
        <w:rPr>
          <w:rFonts w:ascii="Cambria Math" w:eastAsia="Cambria Math" w:hAnsi="Cambria Math" w:cs="Cambria Math"/>
        </w:rPr>
        <w:tab/>
      </w: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конкр.ТН</w:t>
      </w:r>
      <w:proofErr w:type="spellEnd"/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+ ∑</w:t>
      </w:r>
      <w:r>
        <w:rPr>
          <w:rFonts w:ascii="Cambria Math" w:eastAsia="Cambria Math" w:hAnsi="Cambria Math" w:cs="Cambria Math"/>
        </w:rPr>
        <w:tab/>
      </w: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конкр.НТН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t xml:space="preserve"> </w:t>
      </w:r>
    </w:p>
    <w:p w:rsidR="004C1927" w:rsidRDefault="00C02B35">
      <w:pPr>
        <w:tabs>
          <w:tab w:val="center" w:pos="4053"/>
          <w:tab w:val="center" w:pos="6260"/>
        </w:tabs>
        <w:spacing w:after="9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  <w:sz w:val="20"/>
        </w:rPr>
        <w:t>=1</w:t>
      </w:r>
      <w:r>
        <w:rPr>
          <w:rFonts w:ascii="Cambria Math" w:eastAsia="Cambria Math" w:hAnsi="Cambria Math" w:cs="Cambria Math"/>
          <w:sz w:val="20"/>
        </w:rPr>
        <w:tab/>
      </w:r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  <w:sz w:val="20"/>
        </w:rPr>
        <w:t>=1</w:t>
      </w:r>
    </w:p>
    <w:p w:rsidR="004C1927" w:rsidRDefault="00C02B35">
      <w:pPr>
        <w:spacing w:after="37"/>
        <w:ind w:left="708" w:right="61" w:firstLine="0"/>
      </w:pPr>
      <w:r>
        <w:t xml:space="preserve">где: </w:t>
      </w:r>
    </w:p>
    <w:p w:rsidR="004C1927" w:rsidRDefault="00C02B35">
      <w:pPr>
        <w:spacing w:after="33"/>
        <w:ind w:left="-15" w:right="61"/>
      </w:pPr>
      <w:proofErr w:type="spellStart"/>
      <w:r>
        <w:t>У</w:t>
      </w:r>
      <w:r>
        <w:rPr>
          <w:vertAlign w:val="subscript"/>
        </w:rPr>
        <w:t>конкр.ТН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r>
        <w:t xml:space="preserve">- размер вреда водному объекту, подлежащий возмещению лицом, </w:t>
      </w:r>
      <w:r>
        <w:t>которому направлено требование, в связи со сбросом i-</w:t>
      </w:r>
      <w:proofErr w:type="spellStart"/>
      <w:r>
        <w:t>го</w:t>
      </w:r>
      <w:proofErr w:type="spellEnd"/>
      <w:r>
        <w:t xml:space="preserve"> загрязняющего вещества, относящегося к технологически нормируемым веществам (рублей); </w:t>
      </w:r>
      <w:proofErr w:type="spellStart"/>
      <w:r>
        <w:t>У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t>- размер вреда водному объекту, подлежащий возмещению лицом, которому направлено требование, в связи с</w:t>
      </w:r>
      <w:r>
        <w:t>о сбросом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 (рублей); m – количество наименований загрязняющих веществ, относящихся к технологически нормируемым веществам, в связи со сбросом которых направлено требование; </w:t>
      </w:r>
      <w:r>
        <w:t xml:space="preserve">n – количество наименований загрязняющих веществ, не относящихся к технологически нормируемым веществам, в связи со сбросом которых направлено требование </w:t>
      </w:r>
    </w:p>
    <w:p w:rsidR="004C1927" w:rsidRDefault="00C02B35">
      <w:pPr>
        <w:ind w:left="-15" w:right="61"/>
      </w:pPr>
      <w:r>
        <w:lastRenderedPageBreak/>
        <w:t>18. Размер вреда водному объекту, подлежащий возмещению лицом, которому направлено требование, в связ</w:t>
      </w:r>
      <w:r>
        <w:t>и со сбросом i-</w:t>
      </w:r>
      <w:proofErr w:type="spellStart"/>
      <w:r>
        <w:t>го</w:t>
      </w:r>
      <w:proofErr w:type="spellEnd"/>
      <w:r>
        <w:t xml:space="preserve"> загрязняющего вещества, относящегося к технологически нормируемым веществам, (</w:t>
      </w:r>
      <w:proofErr w:type="spellStart"/>
      <w:r>
        <w:t>У</w:t>
      </w:r>
      <w:r>
        <w:rPr>
          <w:vertAlign w:val="subscript"/>
        </w:rPr>
        <w:t>конкр.ТНi</w:t>
      </w:r>
      <w:proofErr w:type="spellEnd"/>
      <w:r>
        <w:t xml:space="preserve">) (рублей) определяется по формуле: </w:t>
      </w:r>
    </w:p>
    <w:p w:rsidR="004C1927" w:rsidRDefault="00C02B35">
      <w:pPr>
        <w:spacing w:after="87" w:line="259" w:lineRule="auto"/>
        <w:ind w:left="708" w:right="0" w:firstLine="0"/>
        <w:jc w:val="center"/>
      </w:pPr>
      <w:r>
        <w:t xml:space="preserve"> </w:t>
      </w:r>
    </w:p>
    <w:p w:rsidR="004C1927" w:rsidRDefault="00C02B35">
      <w:pPr>
        <w:spacing w:after="2" w:line="259" w:lineRule="auto"/>
        <w:ind w:left="2648" w:right="0" w:hanging="10"/>
        <w:jc w:val="center"/>
      </w:pPr>
      <w:proofErr w:type="spellStart"/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конкр.ТН</w:t>
      </w:r>
      <w:proofErr w:type="spellEnd"/>
      <w:r>
        <w:rPr>
          <w:rFonts w:ascii="Cambria Math" w:eastAsia="Cambria Math" w:hAnsi="Cambria Math" w:cs="Cambria Math"/>
          <w:sz w:val="20"/>
        </w:rPr>
        <w:t>𝑖</w:t>
      </w:r>
    </w:p>
    <w:p w:rsidR="004C1927" w:rsidRDefault="00C02B35">
      <w:pPr>
        <w:spacing w:after="2" w:line="259" w:lineRule="auto"/>
        <w:ind w:left="626" w:right="684" w:hanging="10"/>
        <w:jc w:val="center"/>
      </w:pP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конкр.ТН</w:t>
      </w:r>
      <w:proofErr w:type="spellEnd"/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 xml:space="preserve">= </w:t>
      </w: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общ.</w:t>
      </w:r>
      <w:r>
        <w:rPr>
          <w:rFonts w:ascii="Calibri" w:eastAsia="Calibri" w:hAnsi="Calibri" w:cs="Calibri"/>
          <w:sz w:val="21"/>
        </w:rPr>
        <w:t>ТН</w:t>
      </w:r>
      <w:proofErr w:type="spellEnd"/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</w:rPr>
        <w:t xml:space="preserve"> 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39140" cy="12192"/>
                <wp:effectExtent l="0" t="0" r="0" b="0"/>
                <wp:docPr id="13192" name="Group 1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12192"/>
                          <a:chOff x="0" y="0"/>
                          <a:chExt cx="739140" cy="12192"/>
                        </a:xfrm>
                      </wpg:grpSpPr>
                      <wps:wsp>
                        <wps:cNvPr id="14182" name="Shape 14182"/>
                        <wps:cNvSpPr/>
                        <wps:spPr>
                          <a:xfrm>
                            <a:off x="0" y="0"/>
                            <a:ext cx="7391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" h="12192">
                                <a:moveTo>
                                  <a:pt x="0" y="0"/>
                                </a:moveTo>
                                <a:lnTo>
                                  <a:pt x="739140" y="0"/>
                                </a:lnTo>
                                <a:lnTo>
                                  <a:pt x="7391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92" style="width:58.2pt;height:0.959961pt;mso-position-horizontal-relative:char;mso-position-vertical-relative:line" coordsize="7391,121">
                <v:shape id="Shape 14183" style="position:absolute;width:7391;height:121;left:0;top:0;" coordsize="739140,12192" path="m0,0l739140,0l73914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,</w:t>
      </w:r>
      <w:r>
        <w:rPr>
          <w:i/>
        </w:rPr>
        <w:t xml:space="preserve"> </w:t>
      </w:r>
    </w:p>
    <w:p w:rsidR="004C1927" w:rsidRDefault="00C02B35">
      <w:pPr>
        <w:spacing w:after="2" w:line="259" w:lineRule="auto"/>
        <w:ind w:left="2648" w:right="0" w:hanging="10"/>
        <w:jc w:val="center"/>
      </w:pPr>
      <w:proofErr w:type="spellStart"/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общ.ТН</w:t>
      </w:r>
      <w:proofErr w:type="spellEnd"/>
      <w:r>
        <w:rPr>
          <w:rFonts w:ascii="Cambria Math" w:eastAsia="Cambria Math" w:hAnsi="Cambria Math" w:cs="Cambria Math"/>
          <w:sz w:val="20"/>
        </w:rPr>
        <w:t>𝑖</w:t>
      </w:r>
    </w:p>
    <w:p w:rsidR="004C1927" w:rsidRDefault="00C02B35">
      <w:pPr>
        <w:spacing w:after="18" w:line="259" w:lineRule="auto"/>
        <w:ind w:left="708" w:right="0" w:firstLine="0"/>
        <w:jc w:val="center"/>
      </w:pPr>
      <w:r>
        <w:t xml:space="preserve"> </w:t>
      </w:r>
    </w:p>
    <w:p w:rsidR="004C1927" w:rsidRDefault="00C02B35">
      <w:pPr>
        <w:spacing w:after="35"/>
        <w:ind w:left="708" w:right="61" w:firstLine="0"/>
      </w:pPr>
      <w:r>
        <w:t xml:space="preserve">где: </w:t>
      </w:r>
    </w:p>
    <w:p w:rsidR="004C1927" w:rsidRDefault="00C02B35">
      <w:pPr>
        <w:ind w:left="-15" w:right="61"/>
      </w:pPr>
      <w:proofErr w:type="spellStart"/>
      <w:r>
        <w:t>У</w:t>
      </w:r>
      <w:r>
        <w:rPr>
          <w:vertAlign w:val="subscript"/>
        </w:rPr>
        <w:t>общ.ТН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r>
        <w:t xml:space="preserve">– </w:t>
      </w:r>
      <w:r>
        <w:t>общий размера вреда водному объекту, исчисленный на основании факта причинения вреда водному объекту в связи со сбросом i-</w:t>
      </w:r>
      <w:proofErr w:type="spellStart"/>
      <w:r>
        <w:t>го</w:t>
      </w:r>
      <w:proofErr w:type="spellEnd"/>
      <w:r>
        <w:t xml:space="preserve"> загрязняющего вещества (рублей); </w:t>
      </w:r>
    </w:p>
    <w:p w:rsidR="004C1927" w:rsidRDefault="00C02B35">
      <w:pPr>
        <w:spacing w:after="41"/>
        <w:ind w:left="-15" w:right="61"/>
      </w:pPr>
      <w:proofErr w:type="spellStart"/>
      <w:r>
        <w:t>М</w:t>
      </w:r>
      <w:r>
        <w:rPr>
          <w:vertAlign w:val="subscript"/>
        </w:rPr>
        <w:t>конкр.ТН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r>
        <w:t>– масса i-</w:t>
      </w:r>
      <w:proofErr w:type="spellStart"/>
      <w:r>
        <w:t>го</w:t>
      </w:r>
      <w:proofErr w:type="spellEnd"/>
      <w:r>
        <w:t xml:space="preserve"> загрязняющего вещества, относящегося к технологически нормируемым веществ</w:t>
      </w:r>
      <w:r>
        <w:t>ам, сброшенная лицом, которому направлено требование (за исключением организации, осуществляющей водоотведение), в централизованную систему водоотведения в течение периода сброса и 72 часов до его начала с превышением нормативов состава сточных вод или в о</w:t>
      </w:r>
      <w:r>
        <w:t xml:space="preserve">тсутствие норматива состава сточных вод (тонн); </w:t>
      </w:r>
    </w:p>
    <w:p w:rsidR="004C1927" w:rsidRDefault="00C02B35">
      <w:pPr>
        <w:ind w:left="-15" w:right="61"/>
      </w:pPr>
      <w:proofErr w:type="spellStart"/>
      <w:r>
        <w:t>М</w:t>
      </w:r>
      <w:r>
        <w:rPr>
          <w:vertAlign w:val="subscript"/>
        </w:rPr>
        <w:t>общ.ТН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r>
        <w:t xml:space="preserve">– сумма значений </w:t>
      </w:r>
      <w:proofErr w:type="spellStart"/>
      <w:r>
        <w:t>М</w:t>
      </w:r>
      <w:r>
        <w:rPr>
          <w:vertAlign w:val="subscript"/>
        </w:rPr>
        <w:t>конкр.ТН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r>
        <w:t>всех лиц, которым направлено требование (за исключением организации, осуществляющей водоотведение), которым направлено требование в связи со сбросом i-</w:t>
      </w:r>
      <w:proofErr w:type="spellStart"/>
      <w:r>
        <w:t>го</w:t>
      </w:r>
      <w:proofErr w:type="spellEnd"/>
      <w:r>
        <w:t xml:space="preserve"> загрязняющего ве</w:t>
      </w:r>
      <w:r>
        <w:t xml:space="preserve">щества (тонн). </w:t>
      </w:r>
    </w:p>
    <w:p w:rsidR="004C1927" w:rsidRDefault="00C02B35">
      <w:pPr>
        <w:ind w:left="-15" w:right="61"/>
      </w:pPr>
      <w:r>
        <w:t xml:space="preserve">Для организации, осуществляющей водоотведение, при </w:t>
      </w:r>
      <w:proofErr w:type="spellStart"/>
      <w:r>
        <w:t>М</w:t>
      </w:r>
      <w:r>
        <w:rPr>
          <w:vertAlign w:val="subscript"/>
        </w:rPr>
        <w:t>общ.ТНi</w:t>
      </w:r>
      <w:proofErr w:type="spellEnd"/>
      <w:r>
        <w:t>,</w:t>
      </w:r>
      <w:r>
        <w:rPr>
          <w:vertAlign w:val="subscript"/>
        </w:rPr>
        <w:t xml:space="preserve"> </w:t>
      </w:r>
      <w:r>
        <w:t xml:space="preserve">равной </w:t>
      </w:r>
      <w:proofErr w:type="gramStart"/>
      <w:r>
        <w:t>0,  значение</w:t>
      </w:r>
      <w:proofErr w:type="gramEnd"/>
      <w:r>
        <w:t xml:space="preserve"> </w:t>
      </w:r>
      <w:proofErr w:type="spellStart"/>
      <w:r>
        <w:t>У</w:t>
      </w:r>
      <w:r>
        <w:rPr>
          <w:vertAlign w:val="subscript"/>
        </w:rPr>
        <w:t>конкр.ТН</w:t>
      </w:r>
      <w:r>
        <w:rPr>
          <w:sz w:val="18"/>
        </w:rPr>
        <w:t>i</w:t>
      </w:r>
      <w:proofErr w:type="spellEnd"/>
      <w:r>
        <w:t xml:space="preserve"> принимается равным </w:t>
      </w:r>
      <w:proofErr w:type="spellStart"/>
      <w:r>
        <w:t>У</w:t>
      </w:r>
      <w:r>
        <w:rPr>
          <w:vertAlign w:val="subscript"/>
        </w:rPr>
        <w:t>общ.ТН</w:t>
      </w:r>
      <w:r>
        <w:rPr>
          <w:sz w:val="18"/>
        </w:rPr>
        <w:t>i</w:t>
      </w:r>
      <w:proofErr w:type="spellEnd"/>
      <w:r>
        <w:t xml:space="preserve">, при </w:t>
      </w:r>
      <w:proofErr w:type="spellStart"/>
      <w:r>
        <w:t>М</w:t>
      </w:r>
      <w:r>
        <w:rPr>
          <w:vertAlign w:val="subscript"/>
        </w:rPr>
        <w:t>общ.ТН</w:t>
      </w:r>
      <w:r>
        <w:rPr>
          <w:sz w:val="18"/>
        </w:rPr>
        <w:t>i</w:t>
      </w:r>
      <w:proofErr w:type="spellEnd"/>
      <w:r>
        <w:t>,</w:t>
      </w:r>
      <w:r>
        <w:rPr>
          <w:sz w:val="18"/>
        </w:rPr>
        <w:t xml:space="preserve"> </w:t>
      </w:r>
      <w:r>
        <w:t>не</w:t>
      </w:r>
      <w:r>
        <w:rPr>
          <w:sz w:val="18"/>
        </w:rPr>
        <w:t xml:space="preserve"> </w:t>
      </w:r>
      <w:r>
        <w:t xml:space="preserve">равной 0, значение </w:t>
      </w:r>
      <w:proofErr w:type="spellStart"/>
      <w:r>
        <w:t>У</w:t>
      </w:r>
      <w:r>
        <w:rPr>
          <w:vertAlign w:val="subscript"/>
        </w:rPr>
        <w:t>конкр.ТН</w:t>
      </w:r>
      <w:r>
        <w:rPr>
          <w:sz w:val="18"/>
        </w:rPr>
        <w:t>i</w:t>
      </w:r>
      <w:proofErr w:type="spellEnd"/>
      <w:r>
        <w:t xml:space="preserve"> принимается равным 0. </w:t>
      </w:r>
    </w:p>
    <w:p w:rsidR="004C1927" w:rsidRDefault="00C02B35">
      <w:pPr>
        <w:spacing w:after="108"/>
        <w:ind w:left="-15" w:right="61"/>
      </w:pPr>
      <w:r>
        <w:t>19. Масса i-</w:t>
      </w:r>
      <w:proofErr w:type="spellStart"/>
      <w:r>
        <w:t>го</w:t>
      </w:r>
      <w:proofErr w:type="spellEnd"/>
      <w:r>
        <w:t xml:space="preserve"> загрязняющего вещества, относящего</w:t>
      </w:r>
      <w:r>
        <w:t>ся к технологически нормируемым веществам, сброшенная лицом, которому направлено требование (за исключением организации, осуществляющей водоотведение), в централизованную систему водоотведения в течение периода сброса и 72 часов до его начала с превышением</w:t>
      </w:r>
      <w:r>
        <w:t xml:space="preserve"> норматива состава сточных вод или в отсутствие норматива состава сточных вод (</w:t>
      </w:r>
      <w:proofErr w:type="spellStart"/>
      <w:r>
        <w:t>М</w:t>
      </w:r>
      <w:r>
        <w:rPr>
          <w:vertAlign w:val="subscript"/>
        </w:rPr>
        <w:t>конкр.ТНi</w:t>
      </w:r>
      <w:proofErr w:type="spellEnd"/>
      <w:r>
        <w:t xml:space="preserve">) (тонн), определяется по формуле: </w:t>
      </w:r>
    </w:p>
    <w:p w:rsidR="004C1927" w:rsidRDefault="00C02B35">
      <w:pPr>
        <w:spacing w:after="1" w:line="305" w:lineRule="auto"/>
        <w:ind w:left="693" w:right="1129" w:firstLine="881"/>
        <w:jc w:val="left"/>
      </w:pPr>
      <w:proofErr w:type="spellStart"/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конкр.ТН</w:t>
      </w:r>
      <w:proofErr w:type="spellEnd"/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= (</w:t>
      </w:r>
      <w:proofErr w:type="spellStart"/>
      <w:r>
        <w:rPr>
          <w:rFonts w:ascii="Cambria Math" w:eastAsia="Cambria Math" w:hAnsi="Cambria Math" w:cs="Cambria Math"/>
        </w:rPr>
        <w:t>К</w:t>
      </w:r>
      <w:r>
        <w:rPr>
          <w:rFonts w:ascii="Cambria Math" w:eastAsia="Cambria Math" w:hAnsi="Cambria Math" w:cs="Cambria Math"/>
          <w:sz w:val="20"/>
        </w:rPr>
        <w:t>конкр.ТН</w:t>
      </w:r>
      <w:proofErr w:type="spellEnd"/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</w:rPr>
        <w:t xml:space="preserve"> Н</w:t>
      </w:r>
      <w:r>
        <w:rPr>
          <w:rFonts w:ascii="Cambria Math" w:eastAsia="Cambria Math" w:hAnsi="Cambria Math" w:cs="Cambria Math"/>
          <w:sz w:val="20"/>
        </w:rPr>
        <w:t>ТН</w:t>
      </w:r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</w:rPr>
        <w:t xml:space="preserve"> х 3) х </w:t>
      </w:r>
      <w:r>
        <w:rPr>
          <w:rFonts w:ascii="Cambria Math" w:eastAsia="Cambria Math" w:hAnsi="Cambria Math" w:cs="Cambria Math"/>
        </w:rPr>
        <w:t>𝑄</w:t>
      </w:r>
      <w:proofErr w:type="spellStart"/>
      <w:proofErr w:type="gramStart"/>
      <w:r>
        <w:rPr>
          <w:rFonts w:ascii="Cambria Math" w:eastAsia="Cambria Math" w:hAnsi="Cambria Math" w:cs="Cambria Math"/>
          <w:sz w:val="20"/>
        </w:rPr>
        <w:t>конкр.ТН</w:t>
      </w:r>
      <w:proofErr w:type="spellEnd"/>
      <w:proofErr w:type="gramEnd"/>
      <w:r>
        <w:rPr>
          <w:rFonts w:ascii="Cambria Math" w:eastAsia="Cambria Math" w:hAnsi="Cambria Math" w:cs="Cambria Math"/>
          <w:sz w:val="20"/>
        </w:rPr>
        <w:t>𝑖</w:t>
      </w:r>
      <w:r>
        <w:rPr>
          <w:rFonts w:ascii="Cambria Math" w:eastAsia="Cambria Math" w:hAnsi="Cambria Math" w:cs="Cambria Math"/>
        </w:rPr>
        <w:t xml:space="preserve"> х 10</w:t>
      </w:r>
      <w:r>
        <w:rPr>
          <w:rFonts w:ascii="Cambria Math" w:eastAsia="Cambria Math" w:hAnsi="Cambria Math" w:cs="Cambria Math"/>
          <w:sz w:val="20"/>
        </w:rPr>
        <w:t>−</w:t>
      </w:r>
      <w:r>
        <w:rPr>
          <w:rFonts w:ascii="Cambria Math" w:eastAsia="Cambria Math" w:hAnsi="Cambria Math" w:cs="Cambria Math"/>
          <w:sz w:val="20"/>
        </w:rPr>
        <w:t>6</w:t>
      </w:r>
      <w:r>
        <w:rPr>
          <w:rFonts w:ascii="Cambria Math" w:eastAsia="Cambria Math" w:hAnsi="Cambria Math" w:cs="Cambria Math"/>
        </w:rPr>
        <w:t>,</w:t>
      </w:r>
      <w:r>
        <w:t xml:space="preserve"> где: </w:t>
      </w:r>
    </w:p>
    <w:p w:rsidR="004C1927" w:rsidRDefault="00C02B35">
      <w:pPr>
        <w:spacing w:after="35"/>
        <w:ind w:left="-15" w:right="61"/>
      </w:pPr>
      <w:proofErr w:type="spellStart"/>
      <w:r>
        <w:t>К</w:t>
      </w:r>
      <w:r>
        <w:rPr>
          <w:vertAlign w:val="subscript"/>
        </w:rPr>
        <w:t>конкр.ТН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r>
        <w:t>– концентрация i-</w:t>
      </w:r>
      <w:proofErr w:type="spellStart"/>
      <w:r>
        <w:t>го</w:t>
      </w:r>
      <w:proofErr w:type="spellEnd"/>
      <w:r>
        <w:t xml:space="preserve"> загрязняющего вещества, </w:t>
      </w:r>
      <w:proofErr w:type="gramStart"/>
      <w:r>
        <w:t>относящ</w:t>
      </w:r>
      <w:r>
        <w:t>егося  к</w:t>
      </w:r>
      <w:proofErr w:type="gramEnd"/>
      <w:r>
        <w:t xml:space="preserve"> технологически нормируемым веществам, в сточных водах, сброшенных лицом, которому направлено требование, в централизованную систему водоотведения в течение периода сброса и 72 часов до его начала (мг/дм</w:t>
      </w:r>
      <w:r>
        <w:rPr>
          <w:vertAlign w:val="superscript"/>
        </w:rPr>
        <w:t>3</w:t>
      </w:r>
      <w:r>
        <w:t xml:space="preserve">); </w:t>
      </w:r>
    </w:p>
    <w:p w:rsidR="004C1927" w:rsidRDefault="00C02B35">
      <w:pPr>
        <w:spacing w:after="40"/>
        <w:ind w:left="-15" w:right="61" w:firstLine="540"/>
      </w:pPr>
      <w:proofErr w:type="spellStart"/>
      <w:r>
        <w:t>Н</w:t>
      </w:r>
      <w:r>
        <w:rPr>
          <w:vertAlign w:val="subscript"/>
        </w:rPr>
        <w:t>ТНi</w:t>
      </w:r>
      <w:proofErr w:type="spellEnd"/>
      <w:r>
        <w:t xml:space="preserve"> – значение установленного норматива</w:t>
      </w:r>
      <w:r>
        <w:t xml:space="preserve"> состава сточных вод для i-</w:t>
      </w:r>
      <w:proofErr w:type="spellStart"/>
      <w:r>
        <w:t>го</w:t>
      </w:r>
      <w:proofErr w:type="spellEnd"/>
      <w:r>
        <w:t xml:space="preserve"> загрязняющего вещества, относящегося к технологически нормируемым </w:t>
      </w:r>
      <w:r>
        <w:lastRenderedPageBreak/>
        <w:t xml:space="preserve">веществам (мг/куб. </w:t>
      </w:r>
      <w:proofErr w:type="spellStart"/>
      <w:r>
        <w:t>дм</w:t>
      </w:r>
      <w:proofErr w:type="spellEnd"/>
      <w:r>
        <w:t>). В случае сброса в централизованную систему водоотведения i-</w:t>
      </w:r>
      <w:proofErr w:type="spellStart"/>
      <w:r>
        <w:t>го</w:t>
      </w:r>
      <w:proofErr w:type="spellEnd"/>
      <w:r>
        <w:t xml:space="preserve"> загрязняющего вещества, относящегося к технологически нормируемым вещества</w:t>
      </w:r>
      <w:r>
        <w:t>м, иным лицом, а также в случае, если в отношении i-</w:t>
      </w:r>
      <w:proofErr w:type="spellStart"/>
      <w:r>
        <w:t>го</w:t>
      </w:r>
      <w:proofErr w:type="spellEnd"/>
      <w:r>
        <w:t xml:space="preserve"> загрязняющего вещества, относящегося к технологически нормируемым веществам, норматив состава сточных вод не установлен, </w:t>
      </w:r>
      <w:proofErr w:type="spellStart"/>
      <w:r>
        <w:t>Н</w:t>
      </w:r>
      <w:r>
        <w:rPr>
          <w:vertAlign w:val="subscript"/>
        </w:rPr>
        <w:t>ТНi</w:t>
      </w:r>
      <w:proofErr w:type="spellEnd"/>
      <w:r>
        <w:t xml:space="preserve"> принимается равным 0.</w:t>
      </w:r>
      <w:r>
        <w:rPr>
          <w:rFonts w:ascii="Verdana" w:eastAsia="Verdana" w:hAnsi="Verdana" w:cs="Verdana"/>
          <w:sz w:val="21"/>
        </w:rPr>
        <w:t xml:space="preserve"> </w:t>
      </w:r>
    </w:p>
    <w:p w:rsidR="004C1927" w:rsidRDefault="00C02B35">
      <w:pPr>
        <w:ind w:left="-15" w:right="61"/>
      </w:pPr>
      <w:proofErr w:type="spellStart"/>
      <w:r>
        <w:t>Q</w:t>
      </w:r>
      <w:r>
        <w:rPr>
          <w:vertAlign w:val="subscript"/>
        </w:rPr>
        <w:t>конкр.ТНi</w:t>
      </w:r>
      <w:proofErr w:type="spellEnd"/>
      <w:r>
        <w:rPr>
          <w:vertAlign w:val="subscript"/>
        </w:rPr>
        <w:t xml:space="preserve"> </w:t>
      </w:r>
      <w:r>
        <w:t>– объем сточных вод, сброшенных лицом, ко</w:t>
      </w:r>
      <w:r>
        <w:t xml:space="preserve">торому направлено требование, в централизованную систему водоотведения в течение периода сброса и 72 часов до его начала (куб. метров); </w:t>
      </w:r>
    </w:p>
    <w:p w:rsidR="004C1927" w:rsidRDefault="00C02B35">
      <w:pPr>
        <w:ind w:left="-15" w:right="61"/>
      </w:pPr>
      <w:r>
        <w:t>3 – коэффициент учета 3-кратного превышения значения установленного норматива состава сточных вод в отношении i-</w:t>
      </w:r>
      <w:proofErr w:type="spellStart"/>
      <w:r>
        <w:t>го</w:t>
      </w:r>
      <w:proofErr w:type="spellEnd"/>
      <w:r>
        <w:t xml:space="preserve"> загрязняющего вещества, относящегося к технологически нормируемым веществам; </w:t>
      </w:r>
    </w:p>
    <w:p w:rsidR="004C1927" w:rsidRDefault="00C02B35">
      <w:pPr>
        <w:spacing w:after="41" w:line="259" w:lineRule="auto"/>
        <w:ind w:left="10" w:right="173" w:hanging="10"/>
        <w:jc w:val="center"/>
      </w:pPr>
      <w:r>
        <w:t>10</w:t>
      </w:r>
      <w:r>
        <w:rPr>
          <w:vertAlign w:val="superscript"/>
        </w:rPr>
        <w:t>-6</w:t>
      </w:r>
      <w:r>
        <w:t xml:space="preserve"> – коэффициент перевода массы в тонны и куб. </w:t>
      </w:r>
      <w:proofErr w:type="spellStart"/>
      <w:r>
        <w:t>дм</w:t>
      </w:r>
      <w:proofErr w:type="spellEnd"/>
      <w:r>
        <w:t xml:space="preserve"> в куб. метры. </w:t>
      </w:r>
    </w:p>
    <w:p w:rsidR="004C1927" w:rsidRDefault="00C02B35">
      <w:pPr>
        <w:spacing w:after="0" w:line="288" w:lineRule="auto"/>
        <w:ind w:right="67" w:firstLine="708"/>
        <w:jc w:val="left"/>
      </w:pPr>
      <w:r>
        <w:t xml:space="preserve">20. Размер вреда водному объекту, подлежащий возмещению лицом, которому направлено требование, </w:t>
      </w:r>
      <w:r>
        <w:t>в связи со сбросом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 (</w:t>
      </w:r>
      <w:proofErr w:type="spellStart"/>
      <w:r>
        <w:t>У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t xml:space="preserve">) (рублей), для лица, которому направлено требование, определяется по формуле: </w:t>
      </w:r>
      <w:proofErr w:type="spellStart"/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конкр.НТН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</w:p>
    <w:p w:rsidR="004C1927" w:rsidRDefault="00C02B35">
      <w:pPr>
        <w:spacing w:after="2" w:line="259" w:lineRule="auto"/>
        <w:ind w:left="626" w:right="614" w:hanging="10"/>
        <w:jc w:val="center"/>
      </w:pP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конкр.НТН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= (</w:t>
      </w: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общ.НТН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</w:rPr>
        <w:t xml:space="preserve"> </w:t>
      </w: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вкхНТН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</w:rPr>
        <w:t xml:space="preserve">) 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41553" cy="12192"/>
                <wp:effectExtent l="0" t="0" r="0" b="0"/>
                <wp:docPr id="12576" name="Group 1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553" cy="12192"/>
                          <a:chOff x="0" y="0"/>
                          <a:chExt cx="841553" cy="12192"/>
                        </a:xfrm>
                      </wpg:grpSpPr>
                      <wps:wsp>
                        <wps:cNvPr id="14184" name="Shape 14184"/>
                        <wps:cNvSpPr/>
                        <wps:spPr>
                          <a:xfrm>
                            <a:off x="0" y="0"/>
                            <a:ext cx="8415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3" h="12192">
                                <a:moveTo>
                                  <a:pt x="0" y="0"/>
                                </a:moveTo>
                                <a:lnTo>
                                  <a:pt x="841553" y="0"/>
                                </a:lnTo>
                                <a:lnTo>
                                  <a:pt x="8415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76" style="width:66.264pt;height:0.959991pt;mso-position-horizontal-relative:char;mso-position-vertical-relative:line" coordsize="8415,121">
                <v:shape id="Shape 14185" style="position:absolute;width:8415;height:121;left:0;top:0;" coordsize="841553,12192" path="m0,0l841553,0l841553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4C1927" w:rsidRDefault="00C02B35">
      <w:pPr>
        <w:spacing w:after="2" w:line="259" w:lineRule="auto"/>
        <w:ind w:left="4513" w:right="0" w:hanging="10"/>
        <w:jc w:val="center"/>
      </w:pPr>
      <w:proofErr w:type="spellStart"/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общ</w:t>
      </w:r>
      <w:r>
        <w:rPr>
          <w:rFonts w:ascii="Cambria Math" w:eastAsia="Cambria Math" w:hAnsi="Cambria Math" w:cs="Cambria Math"/>
          <w:sz w:val="20"/>
        </w:rPr>
        <w:t>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</w:p>
    <w:p w:rsidR="004C1927" w:rsidRDefault="00C02B35">
      <w:pPr>
        <w:spacing w:after="35"/>
        <w:ind w:left="708" w:right="61" w:firstLine="0"/>
      </w:pPr>
      <w:r>
        <w:t xml:space="preserve">где: </w:t>
      </w:r>
    </w:p>
    <w:p w:rsidR="004C1927" w:rsidRDefault="00C02B35">
      <w:pPr>
        <w:spacing w:after="33"/>
        <w:ind w:left="-15" w:right="61"/>
      </w:pPr>
      <w:proofErr w:type="spellStart"/>
      <w:r>
        <w:t>У</w:t>
      </w:r>
      <w:r>
        <w:rPr>
          <w:vertAlign w:val="subscript"/>
        </w:rPr>
        <w:t>общ.НТН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t>– общий размер вреда водному объекту, исчисленный на основании факта причинения вреда водному объекту в связи со сбросом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 (рублей); </w:t>
      </w:r>
    </w:p>
    <w:p w:rsidR="004C1927" w:rsidRDefault="00C02B35">
      <w:pPr>
        <w:ind w:left="-15" w:right="61"/>
      </w:pPr>
      <w:proofErr w:type="spellStart"/>
      <w:r>
        <w:t>У</w:t>
      </w:r>
      <w:r>
        <w:rPr>
          <w:vertAlign w:val="subscript"/>
        </w:rPr>
        <w:t>вкхНТН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t>– размер</w:t>
      </w:r>
      <w:r>
        <w:t xml:space="preserve"> вреда водному объекту, подлежащий возмещению организацией, осуществляющей водоотведение, в связи со сбросом в централизованную систему водоотведения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веществам, в случае, предусмотре</w:t>
      </w:r>
      <w:r>
        <w:t xml:space="preserve">нном подпунктом «б» пункта 4 настоящего Порядка (рублей); </w:t>
      </w:r>
    </w:p>
    <w:p w:rsidR="004C1927" w:rsidRDefault="00C02B35">
      <w:pPr>
        <w:spacing w:after="45"/>
        <w:ind w:left="-15" w:right="61"/>
      </w:pPr>
      <w:proofErr w:type="spellStart"/>
      <w:r>
        <w:t>М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t xml:space="preserve"> – масса j-</w:t>
      </w:r>
      <w:proofErr w:type="spellStart"/>
      <w:r>
        <w:t>го</w:t>
      </w:r>
      <w:proofErr w:type="spellEnd"/>
      <w:r>
        <w:t xml:space="preserve"> загрязняющего вещества, не </w:t>
      </w:r>
      <w:proofErr w:type="gramStart"/>
      <w:r>
        <w:t>относящегося  к</w:t>
      </w:r>
      <w:proofErr w:type="gramEnd"/>
      <w:r>
        <w:t xml:space="preserve"> технологически нормируемым веществам, сброшенная лицом, которому направлено требование, в централизованную систему водоотведения </w:t>
      </w:r>
      <w:r>
        <w:t xml:space="preserve">(за исключением организации, осуществляющей водоотведение) в течение периода сброса и 72 часов до его начала с превышением норматива состава сточных вод или в отсутствие норматива состава сточных вод (тонн); </w:t>
      </w:r>
    </w:p>
    <w:p w:rsidR="004C1927" w:rsidRDefault="00C02B35">
      <w:pPr>
        <w:ind w:left="-15" w:right="61"/>
      </w:pPr>
      <w:proofErr w:type="spellStart"/>
      <w:r>
        <w:t>М</w:t>
      </w:r>
      <w:r>
        <w:rPr>
          <w:vertAlign w:val="subscript"/>
        </w:rPr>
        <w:t>общ.НТН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t xml:space="preserve">– сумма значений </w:t>
      </w:r>
      <w:proofErr w:type="spellStart"/>
      <w:r>
        <w:t>М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t>всех лиц</w:t>
      </w:r>
      <w:r>
        <w:t>, которым направлено требование (за исключением организации, осуществляющей водоотведение</w:t>
      </w:r>
      <w:proofErr w:type="gramStart"/>
      <w:r>
        <w:t xml:space="preserve">),  </w:t>
      </w:r>
      <w:r>
        <w:lastRenderedPageBreak/>
        <w:t>которым</w:t>
      </w:r>
      <w:proofErr w:type="gramEnd"/>
      <w:r>
        <w:t xml:space="preserve"> направлено требование в связи со сбросом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 (тонн). </w:t>
      </w:r>
    </w:p>
    <w:p w:rsidR="004C1927" w:rsidRDefault="00C02B35">
      <w:pPr>
        <w:spacing w:after="38"/>
        <w:ind w:left="-15" w:right="61"/>
      </w:pPr>
      <w:r>
        <w:t>Для организации, осущ</w:t>
      </w:r>
      <w:r>
        <w:t xml:space="preserve">ествляющей водоотведение, при </w:t>
      </w:r>
      <w:proofErr w:type="spellStart"/>
      <w:r>
        <w:t>М</w:t>
      </w:r>
      <w:r>
        <w:rPr>
          <w:vertAlign w:val="subscript"/>
        </w:rPr>
        <w:t>общ.НТНj</w:t>
      </w:r>
      <w:proofErr w:type="spellEnd"/>
      <w:r>
        <w:t>,</w:t>
      </w:r>
      <w:r>
        <w:rPr>
          <w:vertAlign w:val="subscript"/>
        </w:rPr>
        <w:t xml:space="preserve"> </w:t>
      </w:r>
      <w:r>
        <w:t xml:space="preserve">равной 0 значение </w:t>
      </w:r>
      <w:proofErr w:type="spellStart"/>
      <w:r>
        <w:t>У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t xml:space="preserve"> принимается равным </w:t>
      </w:r>
      <w:proofErr w:type="spellStart"/>
      <w:r>
        <w:t>У</w:t>
      </w:r>
      <w:r>
        <w:rPr>
          <w:vertAlign w:val="subscript"/>
        </w:rPr>
        <w:t>общ.НТН</w:t>
      </w:r>
      <w:r>
        <w:rPr>
          <w:sz w:val="18"/>
        </w:rPr>
        <w:t>j</w:t>
      </w:r>
      <w:proofErr w:type="spellEnd"/>
      <w:r>
        <w:t xml:space="preserve">, при </w:t>
      </w:r>
      <w:proofErr w:type="spellStart"/>
      <w:r>
        <w:t>М</w:t>
      </w:r>
      <w:r>
        <w:rPr>
          <w:vertAlign w:val="subscript"/>
        </w:rPr>
        <w:t>общ.НТН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t xml:space="preserve">не равной 0, значение </w:t>
      </w:r>
      <w:proofErr w:type="spellStart"/>
      <w:r>
        <w:t>У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t xml:space="preserve"> принимается равным </w:t>
      </w:r>
      <w:proofErr w:type="spellStart"/>
      <w:r>
        <w:t>У</w:t>
      </w:r>
      <w:r>
        <w:rPr>
          <w:vertAlign w:val="subscript"/>
        </w:rPr>
        <w:t>вкх</w:t>
      </w:r>
      <w:r>
        <w:t>НТНj</w:t>
      </w:r>
      <w:proofErr w:type="spellEnd"/>
      <w:r>
        <w:t xml:space="preserve">. </w:t>
      </w:r>
    </w:p>
    <w:p w:rsidR="004C1927" w:rsidRDefault="00C02B35">
      <w:pPr>
        <w:spacing w:after="107"/>
        <w:ind w:left="-15" w:right="61"/>
      </w:pPr>
      <w:r>
        <w:t>21. Масса j-</w:t>
      </w:r>
      <w:proofErr w:type="spellStart"/>
      <w:r>
        <w:t>го</w:t>
      </w:r>
      <w:proofErr w:type="spellEnd"/>
      <w:r>
        <w:t xml:space="preserve"> загрязняющего вещества, не относящегося </w:t>
      </w:r>
      <w:r>
        <w:t>к технологически нормируемым веществам, сброшенная лицом, которому направлено требование (за исключением организации, осуществляющей водоотведение), в централизованную систему водоотведения в течение периода сброса и 72 часов до его начала с превышением но</w:t>
      </w:r>
      <w:r>
        <w:t>рматива состава сточных вод или в отсутствие норматива состава сточных вод (</w:t>
      </w:r>
      <w:proofErr w:type="spellStart"/>
      <w:r>
        <w:t>М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t xml:space="preserve">) (тонн) определяется по формуле: </w:t>
      </w:r>
    </w:p>
    <w:p w:rsidR="004C1927" w:rsidRDefault="00C02B35">
      <w:pPr>
        <w:spacing w:after="1" w:line="305" w:lineRule="auto"/>
        <w:ind w:left="693" w:right="1129" w:firstLine="693"/>
        <w:jc w:val="left"/>
      </w:pPr>
      <w:proofErr w:type="spellStart"/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конкр.НТН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= (</w:t>
      </w:r>
      <w:proofErr w:type="spellStart"/>
      <w:r>
        <w:rPr>
          <w:rFonts w:ascii="Cambria Math" w:eastAsia="Cambria Math" w:hAnsi="Cambria Math" w:cs="Cambria Math"/>
        </w:rPr>
        <w:t>К</w:t>
      </w:r>
      <w:r>
        <w:rPr>
          <w:rFonts w:ascii="Cambria Math" w:eastAsia="Cambria Math" w:hAnsi="Cambria Math" w:cs="Cambria Math"/>
          <w:sz w:val="20"/>
        </w:rPr>
        <w:t>конкр.НТН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</w:rPr>
        <w:t xml:space="preserve"> Н</w:t>
      </w:r>
      <w:r>
        <w:rPr>
          <w:rFonts w:ascii="Cambria Math" w:eastAsia="Cambria Math" w:hAnsi="Cambria Math" w:cs="Cambria Math"/>
          <w:sz w:val="20"/>
        </w:rPr>
        <w:t>НТН</w:t>
      </w:r>
      <w:proofErr w:type="gramStart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</w:rPr>
        <w:t xml:space="preserve"> )</w:t>
      </w:r>
      <w:proofErr w:type="gramEnd"/>
      <w:r>
        <w:rPr>
          <w:rFonts w:ascii="Cambria Math" w:eastAsia="Cambria Math" w:hAnsi="Cambria Math" w:cs="Cambria Math"/>
        </w:rPr>
        <w:t xml:space="preserve"> х </w:t>
      </w:r>
      <w:r>
        <w:rPr>
          <w:rFonts w:ascii="Cambria Math" w:eastAsia="Cambria Math" w:hAnsi="Cambria Math" w:cs="Cambria Math"/>
        </w:rPr>
        <w:t>𝑄</w:t>
      </w:r>
      <w:proofErr w:type="spellStart"/>
      <w:r>
        <w:rPr>
          <w:rFonts w:ascii="Cambria Math" w:eastAsia="Cambria Math" w:hAnsi="Cambria Math" w:cs="Cambria Math"/>
          <w:sz w:val="20"/>
        </w:rPr>
        <w:t>конкр.НТН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</w:rPr>
        <w:t xml:space="preserve"> х 10</w:t>
      </w:r>
      <w:r>
        <w:rPr>
          <w:rFonts w:ascii="Cambria Math" w:eastAsia="Cambria Math" w:hAnsi="Cambria Math" w:cs="Cambria Math"/>
          <w:vertAlign w:val="superscript"/>
        </w:rPr>
        <w:t>−</w:t>
      </w:r>
      <w:r>
        <w:rPr>
          <w:rFonts w:ascii="Cambria Math" w:eastAsia="Cambria Math" w:hAnsi="Cambria Math" w:cs="Cambria Math"/>
          <w:vertAlign w:val="superscript"/>
        </w:rPr>
        <w:t>6</w:t>
      </w:r>
      <w:r>
        <w:rPr>
          <w:rFonts w:ascii="Cambria Math" w:eastAsia="Cambria Math" w:hAnsi="Cambria Math" w:cs="Cambria Math"/>
        </w:rPr>
        <w:t xml:space="preserve"> ,</w:t>
      </w:r>
      <w:r>
        <w:t xml:space="preserve"> где: </w:t>
      </w:r>
    </w:p>
    <w:p w:rsidR="004C1927" w:rsidRDefault="00C02B35">
      <w:pPr>
        <w:ind w:left="-15" w:right="61"/>
      </w:pPr>
      <w:proofErr w:type="spellStart"/>
      <w:r>
        <w:t>К</w:t>
      </w:r>
      <w:r>
        <w:rPr>
          <w:vertAlign w:val="subscript"/>
        </w:rPr>
        <w:t>конкр.НТН</w:t>
      </w:r>
      <w:r>
        <w:rPr>
          <w:sz w:val="18"/>
        </w:rPr>
        <w:t>j</w:t>
      </w:r>
      <w:proofErr w:type="spellEnd"/>
      <w:r>
        <w:t xml:space="preserve"> –концентрация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веществам, в сточных водах, сброшенных лицом, которому направлено требование, в централизованную систему водоотведения, </w:t>
      </w:r>
    </w:p>
    <w:p w:rsidR="004C1927" w:rsidRDefault="00C02B35">
      <w:pPr>
        <w:spacing w:after="36"/>
        <w:ind w:left="-15" w:right="61" w:firstLine="0"/>
      </w:pPr>
      <w:r>
        <w:t>в течение периода сброса и 72 часов до его начала (мг/дм</w:t>
      </w:r>
      <w:r>
        <w:rPr>
          <w:vertAlign w:val="superscript"/>
        </w:rPr>
        <w:t>3</w:t>
      </w:r>
      <w:r>
        <w:t xml:space="preserve">); </w:t>
      </w:r>
    </w:p>
    <w:p w:rsidR="004C1927" w:rsidRDefault="00C02B35">
      <w:pPr>
        <w:ind w:left="-15" w:right="61"/>
      </w:pPr>
      <w:proofErr w:type="spellStart"/>
      <w:r>
        <w:t>Н</w:t>
      </w:r>
      <w:r>
        <w:rPr>
          <w:vertAlign w:val="subscript"/>
        </w:rPr>
        <w:t>Н</w:t>
      </w:r>
      <w:r>
        <w:rPr>
          <w:vertAlign w:val="subscript"/>
        </w:rPr>
        <w:t>ТНj</w:t>
      </w:r>
      <w:proofErr w:type="spellEnd"/>
      <w:r>
        <w:t xml:space="preserve"> – значение установленного норматива состава сточных вод для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 (мг/куб. </w:t>
      </w:r>
      <w:proofErr w:type="spellStart"/>
      <w:r>
        <w:t>дм</w:t>
      </w:r>
      <w:proofErr w:type="spellEnd"/>
      <w:r>
        <w:t>). В случае сброса в централизованную систему водоотведения j-</w:t>
      </w:r>
      <w:proofErr w:type="spellStart"/>
      <w:r>
        <w:t>го</w:t>
      </w:r>
      <w:proofErr w:type="spellEnd"/>
      <w:r>
        <w:t xml:space="preserve"> загрязняющего вещества, не относ</w:t>
      </w:r>
      <w:r>
        <w:t>ящегося к технологически нормируемым веществам, иным лицом, а также в случае, если в отношении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веществам, норматив состава сточных вод не установлен, </w:t>
      </w:r>
      <w:proofErr w:type="spellStart"/>
      <w:r>
        <w:t>Н</w:t>
      </w:r>
      <w:r>
        <w:rPr>
          <w:vertAlign w:val="subscript"/>
        </w:rPr>
        <w:t>НТНj</w:t>
      </w:r>
      <w:proofErr w:type="spellEnd"/>
      <w:r>
        <w:t xml:space="preserve"> принимается равным 0. </w:t>
      </w:r>
    </w:p>
    <w:p w:rsidR="004C1927" w:rsidRDefault="00C02B35">
      <w:pPr>
        <w:spacing w:after="34"/>
        <w:ind w:left="-15" w:right="61"/>
      </w:pPr>
      <w:proofErr w:type="spellStart"/>
      <w:r>
        <w:t>Q</w:t>
      </w:r>
      <w:r>
        <w:rPr>
          <w:vertAlign w:val="subscript"/>
        </w:rPr>
        <w:t>ко</w:t>
      </w:r>
      <w:r>
        <w:rPr>
          <w:vertAlign w:val="subscript"/>
        </w:rPr>
        <w:t>нкр.НТН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t>– объем сточных вод, сброшенных лицом, которому направлено требование, в течение периода сброса и 72 часов до его начала (куб. метров); 10</w:t>
      </w:r>
      <w:r>
        <w:rPr>
          <w:vertAlign w:val="superscript"/>
        </w:rPr>
        <w:t>-6</w:t>
      </w:r>
      <w:r>
        <w:t xml:space="preserve"> – коэффициент перевода массы в тонны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куб. </w:t>
      </w:r>
      <w:proofErr w:type="spellStart"/>
      <w:r>
        <w:t>дм</w:t>
      </w:r>
      <w:proofErr w:type="spellEnd"/>
      <w:r>
        <w:t xml:space="preserve"> в куб. метры. </w:t>
      </w:r>
    </w:p>
    <w:p w:rsidR="004C1927" w:rsidRDefault="00C02B35">
      <w:pPr>
        <w:ind w:left="-15" w:right="61"/>
      </w:pPr>
      <w:r>
        <w:t>22. Размер вреда водному объекту, подлежащий</w:t>
      </w:r>
      <w:r>
        <w:t xml:space="preserve"> возмещению организацией, осуществляющей водоотведение, в связи со сбросом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веществам, в случае, предусмотренном подпунктом «б» пункта 4 настоящего Порядка (</w:t>
      </w:r>
      <w:proofErr w:type="spellStart"/>
      <w:r>
        <w:t>У</w:t>
      </w:r>
      <w:r>
        <w:rPr>
          <w:vertAlign w:val="subscript"/>
        </w:rPr>
        <w:t>вкхНТН</w:t>
      </w:r>
      <w:r>
        <w:rPr>
          <w:sz w:val="18"/>
        </w:rPr>
        <w:t>j</w:t>
      </w:r>
      <w:proofErr w:type="spellEnd"/>
      <w:r>
        <w:t>) (рублей), опреде</w:t>
      </w:r>
      <w:r>
        <w:t xml:space="preserve">ляется по формуле: </w:t>
      </w:r>
    </w:p>
    <w:p w:rsidR="004C1927" w:rsidRDefault="00C02B35">
      <w:pPr>
        <w:spacing w:after="70" w:line="259" w:lineRule="auto"/>
        <w:ind w:left="708" w:right="0" w:firstLine="0"/>
        <w:jc w:val="left"/>
      </w:pPr>
      <w:r>
        <w:t xml:space="preserve"> </w:t>
      </w:r>
    </w:p>
    <w:p w:rsidR="004C1927" w:rsidRDefault="00C02B35">
      <w:pPr>
        <w:spacing w:after="2" w:line="259" w:lineRule="auto"/>
        <w:ind w:left="626" w:right="874" w:hanging="10"/>
        <w:jc w:val="center"/>
      </w:pPr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НТН</w:t>
      </w:r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</w:rPr>
        <w:t xml:space="preserve"> </w:t>
      </w:r>
      <w:proofErr w:type="spellStart"/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общ.НТН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</w:p>
    <w:p w:rsidR="004C1927" w:rsidRDefault="00C02B35">
      <w:pPr>
        <w:spacing w:after="2" w:line="259" w:lineRule="auto"/>
        <w:ind w:left="626" w:right="685" w:hanging="10"/>
        <w:jc w:val="center"/>
      </w:pP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вкхНТН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  <w:sz w:val="20"/>
        </w:rPr>
        <w:t xml:space="preserve"> </w:t>
      </w:r>
      <w:r>
        <w:rPr>
          <w:rFonts w:ascii="Cambria Math" w:eastAsia="Cambria Math" w:hAnsi="Cambria Math" w:cs="Cambria Math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8430" cy="12192"/>
                <wp:effectExtent l="0" t="0" r="0" b="0"/>
                <wp:docPr id="13668" name="Group 13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2192"/>
                          <a:chOff x="0" y="0"/>
                          <a:chExt cx="1408430" cy="12192"/>
                        </a:xfrm>
                      </wpg:grpSpPr>
                      <wps:wsp>
                        <wps:cNvPr id="14186" name="Shape 14186"/>
                        <wps:cNvSpPr/>
                        <wps:spPr>
                          <a:xfrm>
                            <a:off x="0" y="0"/>
                            <a:ext cx="14084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 h="12192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  <a:lnTo>
                                  <a:pt x="14084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68" style="width:110.9pt;height:0.960022pt;mso-position-horizontal-relative:char;mso-position-vertical-relative:line" coordsize="14084,121">
                <v:shape id="Shape 14187" style="position:absolute;width:14084;height:121;left:0;top:0;" coordsize="1408430,12192" path="m0,0l1408430,0l140843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х </w:t>
      </w:r>
      <w:proofErr w:type="spellStart"/>
      <w:r>
        <w:rPr>
          <w:rFonts w:ascii="Cambria Math" w:eastAsia="Cambria Math" w:hAnsi="Cambria Math" w:cs="Cambria Math"/>
        </w:rPr>
        <w:t>У</w:t>
      </w:r>
      <w:r>
        <w:rPr>
          <w:rFonts w:ascii="Cambria Math" w:eastAsia="Cambria Math" w:hAnsi="Cambria Math" w:cs="Cambria Math"/>
          <w:sz w:val="20"/>
        </w:rPr>
        <w:t>общ.НТН</w:t>
      </w:r>
      <w:proofErr w:type="spellEnd"/>
      <w:r>
        <w:rPr>
          <w:rFonts w:ascii="Cambria Math" w:eastAsia="Cambria Math" w:hAnsi="Cambria Math" w:cs="Cambria Math"/>
          <w:sz w:val="20"/>
        </w:rPr>
        <w:t>𝑗</w:t>
      </w:r>
      <w:r>
        <w:rPr>
          <w:rFonts w:ascii="Cambria Math" w:eastAsia="Cambria Math" w:hAnsi="Cambria Math" w:cs="Cambria Math"/>
        </w:rPr>
        <w:t xml:space="preserve"> ,</w:t>
      </w:r>
      <w:r>
        <w:t xml:space="preserve"> </w:t>
      </w:r>
    </w:p>
    <w:p w:rsidR="004C1927" w:rsidRDefault="00C02B35">
      <w:pPr>
        <w:spacing w:after="2" w:line="259" w:lineRule="auto"/>
        <w:ind w:left="626" w:right="874" w:hanging="10"/>
        <w:jc w:val="center"/>
      </w:pPr>
      <w:r>
        <w:rPr>
          <w:rFonts w:ascii="Cambria Math" w:eastAsia="Cambria Math" w:hAnsi="Cambria Math" w:cs="Cambria Math"/>
        </w:rPr>
        <w:t>М</w:t>
      </w:r>
      <w:r>
        <w:rPr>
          <w:rFonts w:ascii="Cambria Math" w:eastAsia="Cambria Math" w:hAnsi="Cambria Math" w:cs="Cambria Math"/>
          <w:sz w:val="20"/>
        </w:rPr>
        <w:t>НТН</w:t>
      </w:r>
      <w:r>
        <w:rPr>
          <w:rFonts w:ascii="Cambria Math" w:eastAsia="Cambria Math" w:hAnsi="Cambria Math" w:cs="Cambria Math"/>
          <w:sz w:val="20"/>
        </w:rPr>
        <w:t>𝑗</w:t>
      </w:r>
    </w:p>
    <w:p w:rsidR="004C1927" w:rsidRDefault="00C02B35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4C1927" w:rsidRDefault="00C02B35">
      <w:pPr>
        <w:ind w:left="708" w:right="61" w:firstLine="0"/>
      </w:pPr>
      <w:r>
        <w:t xml:space="preserve">где: </w:t>
      </w:r>
    </w:p>
    <w:p w:rsidR="004C1927" w:rsidRDefault="00C02B35">
      <w:pPr>
        <w:ind w:left="-15" w:right="61"/>
      </w:pPr>
      <w:proofErr w:type="spellStart"/>
      <w:r>
        <w:lastRenderedPageBreak/>
        <w:t>М</w:t>
      </w:r>
      <w:r>
        <w:rPr>
          <w:vertAlign w:val="subscript"/>
        </w:rPr>
        <w:t>НТНj</w:t>
      </w:r>
      <w:proofErr w:type="spellEnd"/>
      <w:r>
        <w:t xml:space="preserve"> – масса сброшенного в водный объект j-</w:t>
      </w:r>
      <w:proofErr w:type="spellStart"/>
      <w:r>
        <w:t>го</w:t>
      </w:r>
      <w:proofErr w:type="spellEnd"/>
      <w:r>
        <w:t xml:space="preserve"> загрязняющего вещества, не относящегося к технологически нормируемым веществам, определяемая в соответствии с методикой </w:t>
      </w:r>
      <w:r>
        <w:t xml:space="preserve">исчисления размера вреда, причиненного водным объектам вследствие нарушения водного законодательства, утвержденной в соответствии с Водным кодексом Российской Федерации. </w:t>
      </w:r>
    </w:p>
    <w:p w:rsidR="004C1927" w:rsidRDefault="00C02B35">
      <w:pPr>
        <w:spacing w:after="0" w:line="259" w:lineRule="auto"/>
        <w:ind w:left="540" w:right="0" w:firstLine="0"/>
        <w:jc w:val="left"/>
      </w:pPr>
      <w:r>
        <w:t xml:space="preserve"> </w:t>
      </w:r>
    </w:p>
    <w:sectPr w:rsidR="004C1927">
      <w:headerReference w:type="even" r:id="rId7"/>
      <w:headerReference w:type="default" r:id="rId8"/>
      <w:headerReference w:type="first" r:id="rId9"/>
      <w:pgSz w:w="11906" w:h="16838"/>
      <w:pgMar w:top="941" w:right="780" w:bottom="883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35" w:rsidRDefault="00C02B35">
      <w:pPr>
        <w:spacing w:after="0" w:line="240" w:lineRule="auto"/>
      </w:pPr>
      <w:r>
        <w:separator/>
      </w:r>
    </w:p>
  </w:endnote>
  <w:endnote w:type="continuationSeparator" w:id="0">
    <w:p w:rsidR="00C02B35" w:rsidRDefault="00C0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35" w:rsidRDefault="00C02B35">
      <w:pPr>
        <w:spacing w:after="0" w:line="240" w:lineRule="auto"/>
      </w:pPr>
      <w:r>
        <w:separator/>
      </w:r>
    </w:p>
  </w:footnote>
  <w:footnote w:type="continuationSeparator" w:id="0">
    <w:p w:rsidR="00C02B35" w:rsidRDefault="00C0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27" w:rsidRDefault="00C02B35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C1927" w:rsidRDefault="00C02B3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27" w:rsidRDefault="00C02B35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D10" w:rsidRPr="00465D10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C1927" w:rsidRDefault="00C02B3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27" w:rsidRDefault="004C192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8C0"/>
    <w:multiLevelType w:val="hybridMultilevel"/>
    <w:tmpl w:val="0BB0BABC"/>
    <w:lvl w:ilvl="0" w:tplc="66AC69B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2202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90E0F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AEE7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EA7D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2E20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E9650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A1A12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EA202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0266B"/>
    <w:multiLevelType w:val="hybridMultilevel"/>
    <w:tmpl w:val="FDC031F0"/>
    <w:lvl w:ilvl="0" w:tplc="3BC07D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E9958">
      <w:start w:val="1"/>
      <w:numFmt w:val="lowerLetter"/>
      <w:lvlText w:val="%2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27CD4">
      <w:start w:val="1"/>
      <w:numFmt w:val="lowerRoman"/>
      <w:lvlText w:val="%3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44E00">
      <w:start w:val="1"/>
      <w:numFmt w:val="decimal"/>
      <w:lvlText w:val="%4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A67EA">
      <w:start w:val="1"/>
      <w:numFmt w:val="lowerLetter"/>
      <w:lvlText w:val="%5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C00AA">
      <w:start w:val="1"/>
      <w:numFmt w:val="lowerRoman"/>
      <w:lvlText w:val="%6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85F2">
      <w:start w:val="1"/>
      <w:numFmt w:val="decimal"/>
      <w:lvlText w:val="%7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AC198">
      <w:start w:val="1"/>
      <w:numFmt w:val="lowerLetter"/>
      <w:lvlText w:val="%8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CC30C">
      <w:start w:val="1"/>
      <w:numFmt w:val="lowerRoman"/>
      <w:lvlText w:val="%9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2C1580"/>
    <w:multiLevelType w:val="hybridMultilevel"/>
    <w:tmpl w:val="F9164648"/>
    <w:lvl w:ilvl="0" w:tplc="A97A5D94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87B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85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29D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CB4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EA1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40D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638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83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27"/>
    <w:rsid w:val="00465D10"/>
    <w:rsid w:val="004C1927"/>
    <w:rsid w:val="00C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19D9-6B29-4FDB-AFE5-12F4A3A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Будницкий Дмитрий</dc:creator>
  <cp:keywords/>
  <cp:lastModifiedBy>Пользователь</cp:lastModifiedBy>
  <cp:revision>2</cp:revision>
  <dcterms:created xsi:type="dcterms:W3CDTF">2021-08-25T21:08:00Z</dcterms:created>
  <dcterms:modified xsi:type="dcterms:W3CDTF">2021-08-25T21:08:00Z</dcterms:modified>
</cp:coreProperties>
</file>