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D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378D" w:rsidRDefault="00D50180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Межрегиональное у</w:t>
      </w:r>
      <w:r w:rsidR="00B0378D">
        <w:rPr>
          <w:rFonts w:ascii="Times New Roman" w:hAnsi="Times New Roman" w:cs="Times New Roman"/>
          <w:b/>
          <w:sz w:val="28"/>
          <w:szCs w:val="24"/>
        </w:rPr>
        <w:t>правление</w:t>
      </w:r>
      <w:r w:rsidR="00B0378D" w:rsidRPr="00535E3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0378D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E3E">
        <w:rPr>
          <w:rFonts w:ascii="Times New Roman" w:hAnsi="Times New Roman" w:cs="Times New Roman"/>
          <w:b/>
          <w:sz w:val="28"/>
          <w:szCs w:val="24"/>
        </w:rPr>
        <w:t>Федеральной службы по надзору в сфере</w:t>
      </w:r>
      <w:r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535E3E">
        <w:rPr>
          <w:rFonts w:ascii="Times New Roman" w:hAnsi="Times New Roman" w:cs="Times New Roman"/>
          <w:b/>
          <w:sz w:val="28"/>
          <w:szCs w:val="24"/>
        </w:rPr>
        <w:t xml:space="preserve">риродопользования </w:t>
      </w:r>
    </w:p>
    <w:p w:rsidR="00B0378D" w:rsidRPr="00535E3E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E3E">
        <w:rPr>
          <w:rFonts w:ascii="Times New Roman" w:hAnsi="Times New Roman" w:cs="Times New Roman"/>
          <w:b/>
          <w:sz w:val="28"/>
          <w:szCs w:val="24"/>
        </w:rPr>
        <w:t xml:space="preserve">по Ярославской </w:t>
      </w:r>
      <w:r w:rsidR="00D50180">
        <w:rPr>
          <w:rFonts w:ascii="Times New Roman" w:hAnsi="Times New Roman" w:cs="Times New Roman"/>
          <w:b/>
          <w:sz w:val="28"/>
          <w:szCs w:val="24"/>
        </w:rPr>
        <w:t>и Костромской областям</w:t>
      </w:r>
    </w:p>
    <w:p w:rsidR="00B0378D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378D" w:rsidRPr="00535E3E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5E3E">
        <w:rPr>
          <w:rFonts w:ascii="Times New Roman" w:hAnsi="Times New Roman" w:cs="Times New Roman"/>
          <w:b/>
          <w:sz w:val="36"/>
          <w:szCs w:val="24"/>
        </w:rPr>
        <w:t>Обобщенные ответы на вопросы,</w:t>
      </w:r>
    </w:p>
    <w:p w:rsidR="00B0378D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5E3E">
        <w:rPr>
          <w:rFonts w:ascii="Times New Roman" w:hAnsi="Times New Roman" w:cs="Times New Roman"/>
          <w:b/>
          <w:sz w:val="36"/>
          <w:szCs w:val="24"/>
        </w:rPr>
        <w:t xml:space="preserve">полученные </w:t>
      </w:r>
      <w:r>
        <w:rPr>
          <w:rFonts w:ascii="Times New Roman" w:hAnsi="Times New Roman" w:cs="Times New Roman"/>
          <w:b/>
          <w:sz w:val="36"/>
          <w:szCs w:val="24"/>
        </w:rPr>
        <w:t xml:space="preserve">после </w:t>
      </w:r>
      <w:r w:rsidRPr="00535E3E">
        <w:rPr>
          <w:rFonts w:ascii="Times New Roman" w:hAnsi="Times New Roman" w:cs="Times New Roman"/>
          <w:b/>
          <w:sz w:val="36"/>
          <w:szCs w:val="24"/>
        </w:rPr>
        <w:t>проведения публичных обсуждений</w:t>
      </w:r>
    </w:p>
    <w:p w:rsidR="00B0378D" w:rsidRPr="00535E3E" w:rsidRDefault="00B0378D" w:rsidP="00D50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5E3E">
        <w:rPr>
          <w:rFonts w:ascii="Times New Roman" w:hAnsi="Times New Roman" w:cs="Times New Roman"/>
          <w:b/>
          <w:sz w:val="36"/>
          <w:szCs w:val="24"/>
        </w:rPr>
        <w:t>правоприменительной п</w:t>
      </w:r>
      <w:r w:rsidR="00D50180">
        <w:rPr>
          <w:rFonts w:ascii="Times New Roman" w:hAnsi="Times New Roman" w:cs="Times New Roman"/>
          <w:b/>
          <w:sz w:val="36"/>
          <w:szCs w:val="24"/>
        </w:rPr>
        <w:t>рактики надзорной деятельности Межрегионального у</w:t>
      </w:r>
      <w:r w:rsidRPr="00535E3E">
        <w:rPr>
          <w:rFonts w:ascii="Times New Roman" w:hAnsi="Times New Roman" w:cs="Times New Roman"/>
          <w:b/>
          <w:sz w:val="36"/>
          <w:szCs w:val="24"/>
        </w:rPr>
        <w:t>правления</w:t>
      </w:r>
      <w:r w:rsidR="00D50180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535E3E">
        <w:rPr>
          <w:rFonts w:ascii="Times New Roman" w:hAnsi="Times New Roman" w:cs="Times New Roman"/>
          <w:b/>
          <w:sz w:val="36"/>
          <w:szCs w:val="24"/>
        </w:rPr>
        <w:t xml:space="preserve">за </w:t>
      </w:r>
      <w:r w:rsidR="007D71C3">
        <w:rPr>
          <w:rFonts w:ascii="Times New Roman" w:hAnsi="Times New Roman" w:cs="Times New Roman"/>
          <w:b/>
          <w:sz w:val="36"/>
          <w:szCs w:val="24"/>
        </w:rPr>
        <w:t>1 квартал 2018</w:t>
      </w:r>
      <w:r w:rsidR="00D50180">
        <w:rPr>
          <w:rFonts w:ascii="Times New Roman" w:hAnsi="Times New Roman" w:cs="Times New Roman"/>
          <w:b/>
          <w:sz w:val="36"/>
          <w:szCs w:val="24"/>
        </w:rPr>
        <w:t xml:space="preserve"> год</w:t>
      </w:r>
      <w:r w:rsidRPr="00535E3E">
        <w:rPr>
          <w:rFonts w:ascii="Times New Roman" w:hAnsi="Times New Roman" w:cs="Times New Roman"/>
          <w:b/>
          <w:sz w:val="36"/>
          <w:szCs w:val="24"/>
        </w:rPr>
        <w:t>.</w:t>
      </w:r>
    </w:p>
    <w:p w:rsidR="00B0378D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378D" w:rsidRPr="00535E3E" w:rsidRDefault="00B0378D" w:rsidP="00B0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B0378D" w:rsidRPr="00535E3E" w:rsidRDefault="00B0378D" w:rsidP="00B037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535E3E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При подготовке </w:t>
      </w:r>
      <w:r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и в ходе проведения </w:t>
      </w:r>
      <w:r w:rsidRPr="00535E3E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>публичных обсуждений правоприменительной п</w:t>
      </w:r>
      <w:r w:rsidR="00D5018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рактики надзорной деятельности Межрегионального управления за </w:t>
      </w:r>
      <w:r w:rsidR="007D71C3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>1 квартал 2018</w:t>
      </w:r>
      <w:r w:rsidR="00D5018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год</w:t>
      </w:r>
      <w:r w:rsidRPr="00535E3E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был организован сервис по приему вопросов путем размещения соответс</w:t>
      </w:r>
      <w:r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твующей анкеты в сети Интернет, а также посредством сбора специальных анкет в ходе совещания.  </w:t>
      </w:r>
    </w:p>
    <w:p w:rsidR="00B0378D" w:rsidRPr="00535E3E" w:rsidRDefault="00B0378D" w:rsidP="00B0378D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В</w:t>
      </w:r>
      <w:r w:rsidR="00D50180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адрес Межрегионального у</w:t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правления поступило </w:t>
      </w:r>
      <w:r w:rsidR="009F3D38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13</w:t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вопрос</w:t>
      </w: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ов</w:t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по правоприменительной практик</w:t>
      </w:r>
      <w:r w:rsidR="009F3D38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е. В основном Вопросы касались 5</w:t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направлений деятельности Управления:</w:t>
      </w:r>
    </w:p>
    <w:p w:rsidR="00B0378D" w:rsidRPr="00535E3E" w:rsidRDefault="00B0378D" w:rsidP="00B037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ab/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- Администрирование платы за негативное воздействие на окружающую среду;</w:t>
      </w:r>
    </w:p>
    <w:p w:rsidR="00B0378D" w:rsidRPr="00535E3E" w:rsidRDefault="00B0378D" w:rsidP="00B037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ab/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- Государственный учет объектов НВОС;</w:t>
      </w:r>
    </w:p>
    <w:p w:rsidR="00B0378D" w:rsidRPr="00535E3E" w:rsidRDefault="00B0378D" w:rsidP="00B037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ab/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- Кон</w:t>
      </w:r>
      <w:r w:rsidR="009B51AA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трольно-надзорная деятельность Межрегионального у</w:t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правления;</w:t>
      </w:r>
    </w:p>
    <w:p w:rsidR="00B0378D" w:rsidRDefault="00A2352F" w:rsidP="00B0378D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- Государственные услуги;</w:t>
      </w:r>
    </w:p>
    <w:p w:rsidR="00A2352F" w:rsidRDefault="00A2352F" w:rsidP="00B0378D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- Отчетность </w:t>
      </w:r>
      <w:proofErr w:type="spellStart"/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природопользователя</w:t>
      </w:r>
      <w:proofErr w:type="spellEnd"/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.</w:t>
      </w:r>
    </w:p>
    <w:p w:rsidR="00A2352F" w:rsidRDefault="00A2352F" w:rsidP="00B0378D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</w:p>
    <w:p w:rsidR="00A2352F" w:rsidRDefault="00A2352F" w:rsidP="00B0378D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</w:p>
    <w:p w:rsidR="00A2352F" w:rsidRDefault="00A2352F" w:rsidP="00B0378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</w:rPr>
      </w:pPr>
    </w:p>
    <w:p w:rsidR="00B0378D" w:rsidRPr="00C2315C" w:rsidRDefault="00B0378D" w:rsidP="00B03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32"/>
        <w:gridCol w:w="135"/>
        <w:gridCol w:w="3785"/>
        <w:gridCol w:w="184"/>
        <w:gridCol w:w="7390"/>
        <w:gridCol w:w="123"/>
        <w:gridCol w:w="2306"/>
        <w:gridCol w:w="104"/>
      </w:tblGrid>
      <w:tr w:rsidR="00B0378D" w:rsidRPr="00C2315C" w:rsidTr="00A2352F">
        <w:trPr>
          <w:gridAfter w:val="1"/>
          <w:wAfter w:w="104" w:type="dxa"/>
          <w:trHeight w:val="861"/>
          <w:jc w:val="center"/>
        </w:trPr>
        <w:tc>
          <w:tcPr>
            <w:tcW w:w="540" w:type="dxa"/>
            <w:gridSpan w:val="2"/>
            <w:vAlign w:val="center"/>
          </w:tcPr>
          <w:p w:rsidR="00B0378D" w:rsidRPr="00C2315C" w:rsidRDefault="00B0378D" w:rsidP="0096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20" w:type="dxa"/>
            <w:gridSpan w:val="2"/>
            <w:vAlign w:val="center"/>
          </w:tcPr>
          <w:p w:rsidR="00B0378D" w:rsidRPr="00C2315C" w:rsidRDefault="00B0378D" w:rsidP="00FE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5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574" w:type="dxa"/>
            <w:gridSpan w:val="2"/>
            <w:vAlign w:val="center"/>
          </w:tcPr>
          <w:p w:rsidR="00B0378D" w:rsidRPr="00C2315C" w:rsidRDefault="00B0378D" w:rsidP="00FE21F0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5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429" w:type="dxa"/>
            <w:gridSpan w:val="2"/>
            <w:vAlign w:val="center"/>
          </w:tcPr>
          <w:p w:rsidR="00B0378D" w:rsidRPr="00C2315C" w:rsidRDefault="00B0378D" w:rsidP="00FE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5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</w:tr>
      <w:tr w:rsidR="00804E57" w:rsidRPr="00C2315C" w:rsidTr="00A2352F">
        <w:trPr>
          <w:gridAfter w:val="1"/>
          <w:wAfter w:w="104" w:type="dxa"/>
          <w:trHeight w:val="861"/>
          <w:jc w:val="center"/>
        </w:trPr>
        <w:tc>
          <w:tcPr>
            <w:tcW w:w="540" w:type="dxa"/>
            <w:gridSpan w:val="2"/>
            <w:vAlign w:val="center"/>
          </w:tcPr>
          <w:p w:rsidR="00804E57" w:rsidRPr="00C2315C" w:rsidRDefault="00804E57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</w:tcPr>
          <w:p w:rsidR="001C7DF0" w:rsidRDefault="001C7DF0" w:rsidP="001C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документы необходимо предоставить в лицензирующий орган, для получения лицензии  для осуществления вида работ по сбору отходов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 опасности?</w:t>
            </w:r>
          </w:p>
          <w:p w:rsidR="00804E57" w:rsidRPr="00C2315C" w:rsidRDefault="00804E57" w:rsidP="0080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804E57" w:rsidRPr="00C2315C" w:rsidRDefault="001C7DF0" w:rsidP="00E911D7">
            <w:pPr>
              <w:ind w:right="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необходимых для  получения лицензии на деятельность по обращению с отходами I - IV классов опасности, определен Положением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утвержденным постановлением Правительства РФ от 03.10.2015  № 1062.</w:t>
            </w:r>
          </w:p>
        </w:tc>
        <w:tc>
          <w:tcPr>
            <w:tcW w:w="2429" w:type="dxa"/>
            <w:gridSpan w:val="2"/>
          </w:tcPr>
          <w:p w:rsidR="00804E57" w:rsidRPr="001C7DF0" w:rsidRDefault="001C7DF0" w:rsidP="00962DAB">
            <w:pPr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</w:pPr>
            <w:r w:rsidRPr="001C7DF0"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  <w:t>Государственные услуги</w:t>
            </w:r>
          </w:p>
        </w:tc>
      </w:tr>
      <w:tr w:rsidR="00962DAB" w:rsidRPr="00C2315C" w:rsidTr="00A2352F">
        <w:trPr>
          <w:gridAfter w:val="1"/>
          <w:wAfter w:w="104" w:type="dxa"/>
          <w:trHeight w:val="861"/>
          <w:jc w:val="center"/>
        </w:trPr>
        <w:tc>
          <w:tcPr>
            <w:tcW w:w="540" w:type="dxa"/>
            <w:gridSpan w:val="2"/>
            <w:vAlign w:val="center"/>
          </w:tcPr>
          <w:p w:rsidR="00962DAB" w:rsidRPr="00C2315C" w:rsidRDefault="00962DAB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</w:tcPr>
          <w:p w:rsidR="007952EF" w:rsidRDefault="007952EF" w:rsidP="007952E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Какие объекты строительства подлежат экологической экспертизе?</w:t>
            </w:r>
          </w:p>
          <w:p w:rsidR="00962DAB" w:rsidRDefault="00962DAB" w:rsidP="00962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7952EF" w:rsidRDefault="007952EF" w:rsidP="007952EF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государственной экологической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экспертизы определен Федеральным законом «Об экологической экспертизе» от 23.11.1995  №174-ФЗ объектами государственной экологической экспертизы является проектная документация объектов, используемых для размещения и обезвреживания отходов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опасности, проектная документация объектов строительства, реконструкции на землях особо охраняемых природных территорий.</w:t>
            </w:r>
          </w:p>
          <w:p w:rsidR="00962DAB" w:rsidRPr="00C2315C" w:rsidRDefault="007952EF" w:rsidP="007952EF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Федеральным законом от 21.07.2014 N 219-ФЗ с 1 января 2018 года планируется ввод запрета на строительство и реконструкцию таких объектов без положительного заключения государственной экологической экспертизы.</w:t>
            </w:r>
          </w:p>
        </w:tc>
        <w:tc>
          <w:tcPr>
            <w:tcW w:w="2429" w:type="dxa"/>
            <w:gridSpan w:val="2"/>
          </w:tcPr>
          <w:p w:rsidR="00962DAB" w:rsidRPr="00C2315C" w:rsidRDefault="007952EF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F0"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  <w:t>Государственные услуги</w:t>
            </w:r>
          </w:p>
        </w:tc>
      </w:tr>
      <w:tr w:rsidR="00962DAB" w:rsidRPr="00C2315C" w:rsidTr="00A2352F">
        <w:trPr>
          <w:gridAfter w:val="1"/>
          <w:wAfter w:w="104" w:type="dxa"/>
          <w:trHeight w:val="861"/>
          <w:jc w:val="center"/>
        </w:trPr>
        <w:tc>
          <w:tcPr>
            <w:tcW w:w="540" w:type="dxa"/>
            <w:gridSpan w:val="2"/>
            <w:vAlign w:val="center"/>
          </w:tcPr>
          <w:p w:rsidR="00962DAB" w:rsidRPr="00C2315C" w:rsidRDefault="00962DAB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gridSpan w:val="2"/>
          </w:tcPr>
          <w:p w:rsidR="00962DAB" w:rsidRPr="00804E57" w:rsidRDefault="00A2352F" w:rsidP="00962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штрафные санкции предусмотрены за невнесение в установленные сроки платы за НВОС?</w:t>
            </w:r>
            <w:r>
              <w:t xml:space="preserve"> </w:t>
            </w:r>
            <w:r w:rsidRPr="004D3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Предусмотрена ли административная ответственность за нарушение порядка заполнения декларации о плате за НВОС?</w:t>
            </w:r>
          </w:p>
        </w:tc>
        <w:tc>
          <w:tcPr>
            <w:tcW w:w="7574" w:type="dxa"/>
            <w:gridSpan w:val="2"/>
            <w:vAlign w:val="center"/>
          </w:tcPr>
          <w:p w:rsidR="00A2352F" w:rsidRPr="004D3D2E" w:rsidRDefault="00A2352F" w:rsidP="00A235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Несвоевременное или неполное внесение платы за негативное воздействие на окружающую среду лицами, обязанными вносить плату, влечет за собой уплату пеней в размере одной трехсотой ключевой ставки Банка России, действующей на день уплаты пеней, но не более чем в размере двух десятых процента за каждый день просрочки. </w:t>
            </w:r>
          </w:p>
          <w:p w:rsidR="00A2352F" w:rsidRPr="004D3D2E" w:rsidRDefault="00A2352F" w:rsidP="00A235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Пени начисляются за каждый календарный день просрочки исполнения обязанности по внесению платы за негативное </w:t>
            </w:r>
            <w:proofErr w:type="gramStart"/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воздействие</w:t>
            </w:r>
            <w:proofErr w:type="gramEnd"/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окружающую среду начиная со следующего дня после дня окончания соответствующего срока внесения платы (1 марта).</w:t>
            </w:r>
          </w:p>
          <w:p w:rsidR="00A2352F" w:rsidRPr="004D3D2E" w:rsidRDefault="00A2352F" w:rsidP="00A235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Статьей 8.41 Кодекса Российской Федерации об </w:t>
            </w: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административных правонарушениях (далее – КоАП РФ)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штрафа:</w:t>
            </w:r>
          </w:p>
          <w:p w:rsidR="00A2352F" w:rsidRPr="004D3D2E" w:rsidRDefault="00A2352F" w:rsidP="00A235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для должностных лиц – в размере от 3 до 6 тысяч рублей; </w:t>
            </w:r>
          </w:p>
          <w:p w:rsidR="00A2352F" w:rsidRPr="004D3D2E" w:rsidRDefault="00A2352F" w:rsidP="00A235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для юридических лиц – в размере от 50 до 100 тысяч рублей.</w:t>
            </w:r>
          </w:p>
          <w:p w:rsidR="00A2352F" w:rsidRPr="004D3D2E" w:rsidRDefault="00A2352F" w:rsidP="00A235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8.5 КоАП РФ устанавливает административную ответственность за сокрытие,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</w:t>
            </w:r>
            <w:r w:rsidRPr="004D3D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виде административного штрафа:</w:t>
            </w:r>
          </w:p>
          <w:p w:rsidR="00A2352F" w:rsidRPr="004D3D2E" w:rsidRDefault="00A2352F" w:rsidP="00A235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для должностных лиц – в размере от 3 до 6 тысяч рублей; </w:t>
            </w:r>
          </w:p>
          <w:p w:rsidR="00962DAB" w:rsidRPr="00C2315C" w:rsidRDefault="00A2352F" w:rsidP="00A2352F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для юридических лиц – в размере от 20 до 80 тысяч рублей.</w:t>
            </w:r>
          </w:p>
        </w:tc>
        <w:tc>
          <w:tcPr>
            <w:tcW w:w="2429" w:type="dxa"/>
            <w:gridSpan w:val="2"/>
          </w:tcPr>
          <w:p w:rsidR="00962DAB" w:rsidRPr="00C2315C" w:rsidRDefault="00A2352F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FF"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  <w:lastRenderedPageBreak/>
              <w:t>Администрирование платы за негативное воздействие на окружающую среду</w:t>
            </w:r>
          </w:p>
        </w:tc>
      </w:tr>
      <w:tr w:rsidR="00962DAB" w:rsidRPr="00C2315C" w:rsidTr="00A2352F">
        <w:tblPrEx>
          <w:jc w:val="left"/>
        </w:tblPrEx>
        <w:trPr>
          <w:gridBefore w:val="1"/>
          <w:wBefore w:w="108" w:type="dxa"/>
        </w:trPr>
        <w:tc>
          <w:tcPr>
            <w:tcW w:w="567" w:type="dxa"/>
            <w:gridSpan w:val="2"/>
          </w:tcPr>
          <w:p w:rsidR="00962DAB" w:rsidRPr="00C2315C" w:rsidRDefault="00962DAB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gridSpan w:val="2"/>
          </w:tcPr>
          <w:p w:rsidR="00A2352F" w:rsidRPr="004E519B" w:rsidRDefault="00A2352F" w:rsidP="00A23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</w:t>
            </w:r>
            <w:r w:rsidR="009B5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какого времени осуществляется </w:t>
            </w:r>
            <w:proofErr w:type="gramStart"/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правильностью исчисления платы за НВОС?</w:t>
            </w:r>
          </w:p>
          <w:p w:rsidR="00962DAB" w:rsidRPr="00C2315C" w:rsidRDefault="00A2352F" w:rsidP="00A235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Каким образом осуществляется </w:t>
            </w:r>
            <w:proofErr w:type="gramStart"/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4E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исчислением платы за НВОС?</w:t>
            </w:r>
          </w:p>
        </w:tc>
        <w:tc>
          <w:tcPr>
            <w:tcW w:w="7513" w:type="dxa"/>
            <w:gridSpan w:val="2"/>
          </w:tcPr>
          <w:p w:rsidR="00A2352F" w:rsidRPr="00973613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исчислением платы осуществляется Федеральной службой по надзору в сфере природопользования и ее территориальными органами,</w:t>
            </w:r>
            <w:r w:rsidRPr="009736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которые являются главными администраторами (администраторами) доходов бюджетов от платы.</w:t>
            </w:r>
          </w:p>
          <w:p w:rsidR="00A2352F" w:rsidRPr="00973613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исчислением платы осуществляется </w:t>
            </w:r>
            <w:proofErr w:type="spellStart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Росприроднадзором</w:t>
            </w:r>
            <w:proofErr w:type="spellEnd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A2352F" w:rsidRPr="00973613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Предметом контроля за исчислением платы являются правильность исчисления, полнота и своевременность внесения платы, </w:t>
            </w:r>
            <w:proofErr w:type="gramStart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обязанность</w:t>
            </w:r>
            <w:proofErr w:type="gramEnd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внесению которой в соответствии с законодательством в области охраны окружающей среды и настоящими Правилами возложена на лицо, обязанное вносить плату.</w:t>
            </w:r>
          </w:p>
          <w:p w:rsidR="00A2352F" w:rsidRPr="00973613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представления, своевременности внесения платы.</w:t>
            </w:r>
          </w:p>
          <w:p w:rsidR="00A2352F" w:rsidRPr="00973613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 проверке декларации о плате устанавливается соответствие сведений и расчетов, представленных лицом, обязанным вносить плату, в составе декларации о плате и прилагаемых к ней документах положениям настоящих Правил.</w:t>
            </w:r>
          </w:p>
          <w:p w:rsidR="00A2352F" w:rsidRPr="00973613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случае если при проведении проверки декларации о плате выявлены ошибки в этой декларации и (или) противоречия между сведениями в представленных документах, либо выявлены несоответствия сведений, представленных лицом, обязанным вносить плату, сведениям, содержащимся в документах, имеющихся у администратора платы, и (или) полученным им в ходе проведения контроля за исчислением платы, об этом сообщается лицу, обязанному вносить плату, с требованием представить</w:t>
            </w:r>
            <w:proofErr w:type="gramEnd"/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течение 7 рабочих дней необходимые обоснованные пояснения (с приложением при необходимости дополнительных документов) и (или) внести соответствующие исправления в установленный срок.</w:t>
            </w:r>
          </w:p>
          <w:p w:rsidR="00A2352F" w:rsidRDefault="00A2352F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случае несогласия с фактами, изложенными в требовании, лицо, обязанное вносить плату, вправе представить администратору платы письменные возражения по указанному требованию в целом или по его отдельным положениям. При этом лицо, обязанное вносить плату, вправе приложить к письменным возражениям или в согласованный срок передать администратору платы документы (их заверенные копии), подтверждающие обоснованность своих возражений.</w:t>
            </w:r>
          </w:p>
          <w:p w:rsidR="00962DAB" w:rsidRPr="00C2315C" w:rsidRDefault="00962DAB" w:rsidP="00962D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62DAB" w:rsidRPr="004E519B" w:rsidRDefault="00962DAB" w:rsidP="00962DAB">
            <w:pPr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</w:pPr>
            <w:r w:rsidRPr="008A61FF"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  <w:lastRenderedPageBreak/>
              <w:t>Администрирование платы за негативное воздействие на окружающую среду</w:t>
            </w:r>
          </w:p>
        </w:tc>
      </w:tr>
      <w:tr w:rsidR="00962DAB" w:rsidRPr="00C2315C" w:rsidTr="00A2352F">
        <w:tblPrEx>
          <w:jc w:val="left"/>
        </w:tblPrEx>
        <w:trPr>
          <w:gridBefore w:val="1"/>
          <w:wBefore w:w="108" w:type="dxa"/>
        </w:trPr>
        <w:tc>
          <w:tcPr>
            <w:tcW w:w="567" w:type="dxa"/>
            <w:gridSpan w:val="2"/>
          </w:tcPr>
          <w:p w:rsidR="00962DAB" w:rsidRPr="00C2315C" w:rsidRDefault="00962DAB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962DAB" w:rsidRPr="00C2315C" w:rsidRDefault="007952EF" w:rsidP="00962D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Законность проведения внеплановой проверки от заявления граждан «инкогнито»?</w:t>
            </w:r>
          </w:p>
        </w:tc>
        <w:tc>
          <w:tcPr>
            <w:tcW w:w="7513" w:type="dxa"/>
            <w:gridSpan w:val="2"/>
          </w:tcPr>
          <w:p w:rsidR="00962DAB" w:rsidRPr="00C2315C" w:rsidRDefault="007952EF" w:rsidP="00A235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 заявлению гражданина «инкогнито» не проводится (ст. 10 п. 3 294-ФЗ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      </w:r>
          </w:p>
        </w:tc>
        <w:tc>
          <w:tcPr>
            <w:tcW w:w="2410" w:type="dxa"/>
            <w:gridSpan w:val="2"/>
          </w:tcPr>
          <w:p w:rsidR="00962DAB" w:rsidRPr="00C2315C" w:rsidRDefault="007952EF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EF">
              <w:rPr>
                <w:rFonts w:ascii="Times New Roman" w:hAnsi="Times New Roman" w:cs="Times New Roman"/>
                <w:sz w:val="24"/>
                <w:szCs w:val="24"/>
              </w:rPr>
              <w:t>Контрольно-надзорная деятельность</w:t>
            </w:r>
          </w:p>
        </w:tc>
      </w:tr>
      <w:tr w:rsidR="00962DAB" w:rsidRPr="00C2315C" w:rsidTr="00A2352F">
        <w:tblPrEx>
          <w:jc w:val="left"/>
        </w:tblPrEx>
        <w:trPr>
          <w:gridBefore w:val="1"/>
          <w:wBefore w:w="108" w:type="dxa"/>
          <w:trHeight w:val="4732"/>
        </w:trPr>
        <w:tc>
          <w:tcPr>
            <w:tcW w:w="567" w:type="dxa"/>
            <w:gridSpan w:val="2"/>
          </w:tcPr>
          <w:p w:rsidR="00962DAB" w:rsidRPr="00C2315C" w:rsidRDefault="00962DAB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962DAB" w:rsidRPr="00C2315C" w:rsidRDefault="009B51AA" w:rsidP="00962D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могут </w:t>
            </w:r>
            <w:r w:rsidRPr="00FA1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 причин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FA1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отказа в постановке на учет объектов негативного воздействия?</w:t>
            </w:r>
          </w:p>
        </w:tc>
        <w:tc>
          <w:tcPr>
            <w:tcW w:w="7513" w:type="dxa"/>
            <w:gridSpan w:val="2"/>
          </w:tcPr>
          <w:p w:rsidR="009B51AA" w:rsidRPr="00FA1588" w:rsidRDefault="009B51AA" w:rsidP="009B51AA">
            <w:pPr>
              <w:autoSpaceDE w:val="0"/>
              <w:autoSpaceDN w:val="0"/>
              <w:adjustRightInd w:val="0"/>
              <w:ind w:right="-113"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Основанием для отказа в постановке на государственный учет объектов является отсутствие в составе заявки вышеуказанных сведений. </w:t>
            </w:r>
          </w:p>
          <w:p w:rsidR="009B51AA" w:rsidRPr="00FA1588" w:rsidRDefault="009B51AA" w:rsidP="009B51A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Государственный учет объектов НВОС осуществляется в целях получения достоверной информации о таких объектах. В этой связи, если в ходе рассмотрения заявки выявлен факт представления сведений недостаточных для включения в государственный реестр, такой факт рассматривается как непредставление сведений, подлежащих включению в реестр, и соответственно, как основание для отказа в постановке объекта НВОС на государственный учет.</w:t>
            </w:r>
          </w:p>
          <w:p w:rsidR="009B51AA" w:rsidRPr="00FA1588" w:rsidRDefault="009B51AA" w:rsidP="009B51A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>Учитывая, что представление сведений о местонахождении объекта НВОС и координат источников выбросов/сбросов данного объекта НВОС является, в случае, если юридическим лицом или индивидуальным предпринимателем сведения о координатах объекта НВОС (площадных и линейных) представлены в недостаточном количестве (например, площадной объект представлен двумя точками) или непоследовательно и не позволяют установить форму или границы объекта НВОС, такие данные следует считать не представленными</w:t>
            </w:r>
            <w:proofErr w:type="gramEnd"/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заявке.</w:t>
            </w:r>
          </w:p>
          <w:p w:rsidR="009B51AA" w:rsidRPr="00FA1588" w:rsidRDefault="009B51AA" w:rsidP="009B51A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>В случае</w:t>
            </w:r>
            <w:proofErr w:type="gramStart"/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proofErr w:type="gramEnd"/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если юридическим лицом или индивидуальным предпринимателем представлены сведения о координатах источников негативного воздействия, которые территориально не совпадают с координатами объекта НВОС (погрешность указания координат превышает 100м), или предоставлены координаты объекта НВОС, которые территориально не совпадают с адресом местонахождения объекта, такие данные считаются также не представленными в заявке.</w:t>
            </w:r>
          </w:p>
          <w:p w:rsidR="009B51AA" w:rsidRPr="00FA1588" w:rsidRDefault="009B51AA" w:rsidP="009B51AA">
            <w:pPr>
              <w:autoSpaceDE w:val="0"/>
              <w:autoSpaceDN w:val="0"/>
              <w:adjustRightInd w:val="0"/>
              <w:ind w:right="-113"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указанных случаях </w:t>
            </w:r>
            <w:proofErr w:type="gramStart"/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>орган, уполномоченный на ведение государственного учета объектов НВОС направляет</w:t>
            </w:r>
            <w:proofErr w:type="gramEnd"/>
            <w:r w:rsidRPr="00FA15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юридическому лицу, индивидуальному предпринимателю уведомление с указанием причин отказа в течение 5 рабочих дней со дня получения заявки.</w:t>
            </w:r>
          </w:p>
          <w:p w:rsidR="00962DAB" w:rsidRPr="00C2315C" w:rsidRDefault="009B51AA" w:rsidP="009B51AA">
            <w:pPr>
              <w:ind w:right="75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88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Умышленное искажение информации, содержащейся в заявке, является административным правонарушением, предусмотренным ст. 8.5 КоАП РФ.</w:t>
            </w:r>
          </w:p>
        </w:tc>
        <w:tc>
          <w:tcPr>
            <w:tcW w:w="2410" w:type="dxa"/>
            <w:gridSpan w:val="2"/>
          </w:tcPr>
          <w:p w:rsidR="00962DAB" w:rsidRPr="00C2315C" w:rsidRDefault="009B51AA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4"/>
                <w:szCs w:val="28"/>
                <w:lang w:eastAsia="ru-RU" w:bidi="hi-IN"/>
              </w:rPr>
              <w:t>Государственный учет объектов НВОС</w:t>
            </w:r>
          </w:p>
        </w:tc>
      </w:tr>
      <w:tr w:rsidR="00962DAB" w:rsidRPr="00C2315C" w:rsidTr="00A2352F">
        <w:tblPrEx>
          <w:jc w:val="left"/>
        </w:tblPrEx>
        <w:trPr>
          <w:gridBefore w:val="1"/>
          <w:wBefore w:w="108" w:type="dxa"/>
        </w:trPr>
        <w:tc>
          <w:tcPr>
            <w:tcW w:w="567" w:type="dxa"/>
            <w:gridSpan w:val="2"/>
          </w:tcPr>
          <w:p w:rsidR="00962DAB" w:rsidRPr="00C2315C" w:rsidRDefault="007952EF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gridSpan w:val="2"/>
          </w:tcPr>
          <w:p w:rsidR="00962DAB" w:rsidRPr="009B51AA" w:rsidRDefault="009B51AA" w:rsidP="00962D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Законность проведения внеплановой проверки от заявления граждан «инкогнито»?</w:t>
            </w:r>
          </w:p>
        </w:tc>
        <w:tc>
          <w:tcPr>
            <w:tcW w:w="7513" w:type="dxa"/>
            <w:gridSpan w:val="2"/>
          </w:tcPr>
          <w:p w:rsidR="00962DAB" w:rsidRPr="009B51AA" w:rsidRDefault="009B51AA" w:rsidP="00A235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AA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 заявлению гражданина «инкогнито» не проводится (ст. 10 п. 3 294-ФЗ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      </w:r>
          </w:p>
        </w:tc>
        <w:tc>
          <w:tcPr>
            <w:tcW w:w="2410" w:type="dxa"/>
            <w:gridSpan w:val="2"/>
          </w:tcPr>
          <w:p w:rsidR="00962DAB" w:rsidRPr="009B51AA" w:rsidRDefault="009B51AA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AA">
              <w:rPr>
                <w:rFonts w:ascii="Times New Roman" w:hAnsi="Times New Roman" w:cs="Times New Roman"/>
                <w:sz w:val="24"/>
                <w:szCs w:val="24"/>
              </w:rPr>
              <w:t>Контрольно-надзорная деятельность</w:t>
            </w:r>
          </w:p>
        </w:tc>
      </w:tr>
      <w:tr w:rsidR="00962DAB" w:rsidRPr="00C2315C" w:rsidTr="00A2352F">
        <w:tblPrEx>
          <w:jc w:val="left"/>
        </w:tblPrEx>
        <w:trPr>
          <w:gridBefore w:val="1"/>
          <w:wBefore w:w="108" w:type="dxa"/>
        </w:trPr>
        <w:tc>
          <w:tcPr>
            <w:tcW w:w="567" w:type="dxa"/>
            <w:gridSpan w:val="2"/>
          </w:tcPr>
          <w:p w:rsidR="00962DAB" w:rsidRPr="00C2315C" w:rsidRDefault="009F3D38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962DAB" w:rsidRPr="00C2315C" w:rsidRDefault="009B51AA" w:rsidP="00962D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Оповещать о проверке возможно ли за более ранний срок?</w:t>
            </w:r>
          </w:p>
        </w:tc>
        <w:tc>
          <w:tcPr>
            <w:tcW w:w="7513" w:type="dxa"/>
            <w:gridSpan w:val="2"/>
          </w:tcPr>
          <w:p w:rsidR="00962DAB" w:rsidRPr="00C2315C" w:rsidRDefault="009B51AA" w:rsidP="00962DA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за более ранний срок возможно, но не позднее чем в течение трех рабочих дней в случае проведения плановой проверки и не менее чем за 24 часа в случае проведения внеплановой (ст. 9 п. 12, ст. 10 п.16 294-ФЗ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      </w:r>
            <w:proofErr w:type="gramEnd"/>
          </w:p>
        </w:tc>
        <w:tc>
          <w:tcPr>
            <w:tcW w:w="2410" w:type="dxa"/>
            <w:gridSpan w:val="2"/>
          </w:tcPr>
          <w:p w:rsidR="00962DAB" w:rsidRPr="00C2315C" w:rsidRDefault="009B51AA" w:rsidP="0096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AA">
              <w:rPr>
                <w:rFonts w:ascii="Times New Roman" w:hAnsi="Times New Roman" w:cs="Times New Roman"/>
                <w:sz w:val="24"/>
                <w:szCs w:val="24"/>
              </w:rPr>
              <w:t>Контрольно-надзорная деятельность</w:t>
            </w:r>
          </w:p>
        </w:tc>
      </w:tr>
    </w:tbl>
    <w:p w:rsidR="008260BD" w:rsidRDefault="009F3D38"/>
    <w:sectPr w:rsidR="008260BD" w:rsidSect="00B03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AA" w:rsidRDefault="009B51AA" w:rsidP="009B51AA">
      <w:pPr>
        <w:spacing w:after="0" w:line="240" w:lineRule="auto"/>
      </w:pPr>
      <w:r>
        <w:separator/>
      </w:r>
    </w:p>
  </w:endnote>
  <w:endnote w:type="continuationSeparator" w:id="0">
    <w:p w:rsidR="009B51AA" w:rsidRDefault="009B51AA" w:rsidP="009B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AA" w:rsidRDefault="009B51AA" w:rsidP="009B51AA">
      <w:pPr>
        <w:spacing w:after="0" w:line="240" w:lineRule="auto"/>
      </w:pPr>
      <w:r>
        <w:separator/>
      </w:r>
    </w:p>
  </w:footnote>
  <w:footnote w:type="continuationSeparator" w:id="0">
    <w:p w:rsidR="009B51AA" w:rsidRDefault="009B51AA" w:rsidP="009B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FFE"/>
    <w:multiLevelType w:val="multilevel"/>
    <w:tmpl w:val="E5DCA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D"/>
    <w:rsid w:val="000B58B8"/>
    <w:rsid w:val="000C64DA"/>
    <w:rsid w:val="001C7DF0"/>
    <w:rsid w:val="0021374C"/>
    <w:rsid w:val="003814BB"/>
    <w:rsid w:val="00581274"/>
    <w:rsid w:val="00656B71"/>
    <w:rsid w:val="00787056"/>
    <w:rsid w:val="007952EF"/>
    <w:rsid w:val="007D71C3"/>
    <w:rsid w:val="00804E57"/>
    <w:rsid w:val="00962DAB"/>
    <w:rsid w:val="009B51AA"/>
    <w:rsid w:val="009F3D38"/>
    <w:rsid w:val="00A17208"/>
    <w:rsid w:val="00A2352F"/>
    <w:rsid w:val="00A46026"/>
    <w:rsid w:val="00B0378D"/>
    <w:rsid w:val="00C3361E"/>
    <w:rsid w:val="00D50180"/>
    <w:rsid w:val="00E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8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1AA"/>
  </w:style>
  <w:style w:type="paragraph" w:styleId="a7">
    <w:name w:val="footer"/>
    <w:basedOn w:val="a"/>
    <w:link w:val="a8"/>
    <w:uiPriority w:val="99"/>
    <w:unhideWhenUsed/>
    <w:rsid w:val="009B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8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1AA"/>
  </w:style>
  <w:style w:type="paragraph" w:styleId="a7">
    <w:name w:val="footer"/>
    <w:basedOn w:val="a"/>
    <w:link w:val="a8"/>
    <w:uiPriority w:val="99"/>
    <w:unhideWhenUsed/>
    <w:rsid w:val="009B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User017-15</dc:creator>
  <cp:lastModifiedBy>User017-17</cp:lastModifiedBy>
  <cp:revision>5</cp:revision>
  <dcterms:created xsi:type="dcterms:W3CDTF">2018-05-24T06:32:00Z</dcterms:created>
  <dcterms:modified xsi:type="dcterms:W3CDTF">2018-05-24T06:49:00Z</dcterms:modified>
</cp:coreProperties>
</file>